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134"/>
        <w:gridCol w:w="1276"/>
        <w:gridCol w:w="2057"/>
        <w:gridCol w:w="4767"/>
        <w:gridCol w:w="1646"/>
      </w:tblGrid>
      <w:tr w:rsidR="0040647D" w:rsidRPr="0040647D" w:rsidTr="0040647D">
        <w:trPr>
          <w:trHeight w:val="255"/>
        </w:trPr>
        <w:tc>
          <w:tcPr>
            <w:tcW w:w="1134" w:type="dxa"/>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Level</w:t>
            </w:r>
          </w:p>
        </w:tc>
        <w:tc>
          <w:tcPr>
            <w:tcW w:w="1276" w:type="dxa"/>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p>
        </w:tc>
        <w:tc>
          <w:tcPr>
            <w:tcW w:w="2057" w:type="dxa"/>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 Kabupaten Poso</w:t>
            </w:r>
          </w:p>
        </w:tc>
        <w:tc>
          <w:tcPr>
            <w:tcW w:w="4767" w:type="dxa"/>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p>
        </w:tc>
        <w:tc>
          <w:tcPr>
            <w:tcW w:w="1646" w:type="dxa"/>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p>
        </w:tc>
      </w:tr>
      <w:tr w:rsidR="0040647D" w:rsidRPr="0040647D" w:rsidTr="0040647D">
        <w:trPr>
          <w:trHeight w:val="255"/>
        </w:trPr>
        <w:tc>
          <w:tcPr>
            <w:tcW w:w="2410" w:type="dxa"/>
            <w:gridSpan w:val="2"/>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Komponen</w:t>
            </w:r>
          </w:p>
        </w:tc>
        <w:tc>
          <w:tcPr>
            <w:tcW w:w="6824" w:type="dxa"/>
            <w:gridSpan w:val="2"/>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 A. Hukum dan Kebijakan</w:t>
            </w:r>
          </w:p>
        </w:tc>
        <w:tc>
          <w:tcPr>
            <w:tcW w:w="1646" w:type="dxa"/>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p>
        </w:tc>
      </w:tr>
      <w:tr w:rsidR="0040647D" w:rsidRPr="0040647D" w:rsidTr="0040647D">
        <w:trPr>
          <w:trHeight w:val="255"/>
        </w:trPr>
        <w:tc>
          <w:tcPr>
            <w:tcW w:w="1134" w:type="dxa"/>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276" w:type="dxa"/>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2057" w:type="dxa"/>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4767" w:type="dxa"/>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646" w:type="dxa"/>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p>
        </w:tc>
      </w:tr>
      <w:tr w:rsidR="0040647D" w:rsidRPr="0040647D" w:rsidTr="0040647D">
        <w:trPr>
          <w:trHeight w:val="255"/>
        </w:trPr>
        <w:tc>
          <w:tcPr>
            <w:tcW w:w="2410" w:type="dxa"/>
            <w:gridSpan w:val="2"/>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Isu dalam PGA REDD+</w:t>
            </w:r>
          </w:p>
        </w:tc>
        <w:tc>
          <w:tcPr>
            <w:tcW w:w="6824" w:type="dxa"/>
            <w:gridSpan w:val="2"/>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 xml:space="preserve">:  I. Perencanaan Kehutanan dan Tata Ruang </w:t>
            </w:r>
          </w:p>
        </w:tc>
        <w:tc>
          <w:tcPr>
            <w:tcW w:w="1646" w:type="dxa"/>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p>
        </w:tc>
      </w:tr>
      <w:tr w:rsidR="0040647D" w:rsidRPr="0040647D" w:rsidTr="0040647D">
        <w:trPr>
          <w:trHeight w:val="705"/>
        </w:trPr>
        <w:tc>
          <w:tcPr>
            <w:tcW w:w="2410" w:type="dxa"/>
            <w:gridSpan w:val="2"/>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Indikator</w:t>
            </w:r>
          </w:p>
        </w:tc>
        <w:tc>
          <w:tcPr>
            <w:tcW w:w="8470" w:type="dxa"/>
            <w:gridSpan w:val="3"/>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 xml:space="preserve">: a. Keberadaan dan komprehensiveness aturan yang mengatur transparansi penyusunan perencanaan kehutanan dan Rencana Tata Ruang dan Rencana Wilayah (RTRW) </w:t>
            </w:r>
          </w:p>
        </w:tc>
      </w:tr>
      <w:tr w:rsidR="0040647D" w:rsidRPr="0040647D" w:rsidTr="0040647D">
        <w:trPr>
          <w:trHeight w:val="840"/>
        </w:trPr>
        <w:tc>
          <w:tcPr>
            <w:tcW w:w="2410" w:type="dxa"/>
            <w:gridSpan w:val="2"/>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Objek Analisis</w:t>
            </w:r>
          </w:p>
        </w:tc>
        <w:tc>
          <w:tcPr>
            <w:tcW w:w="8470" w:type="dxa"/>
            <w:gridSpan w:val="3"/>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 Undang-Undang, Peraturan Pemerintah, Peraturan Presiden, Keputusan Presiden, Instruksi Presiden, Peraturan Menteri, Keputusan Menteri, Peraturan Gubernur, Peraturan Daerah atau peraturan yang bersifat teknis</w:t>
            </w:r>
          </w:p>
        </w:tc>
      </w:tr>
    </w:tbl>
    <w:p w:rsidR="00D74DB4" w:rsidRDefault="00D74DB4"/>
    <w:tbl>
      <w:tblPr>
        <w:tblW w:w="4953" w:type="pct"/>
        <w:tblInd w:w="103" w:type="dxa"/>
        <w:tblLayout w:type="fixed"/>
        <w:tblLook w:val="04A0"/>
      </w:tblPr>
      <w:tblGrid>
        <w:gridCol w:w="714"/>
        <w:gridCol w:w="1276"/>
        <w:gridCol w:w="1417"/>
        <w:gridCol w:w="5954"/>
        <w:gridCol w:w="1524"/>
      </w:tblGrid>
      <w:tr w:rsidR="0040647D" w:rsidRPr="0040647D" w:rsidTr="0040647D">
        <w:trPr>
          <w:trHeight w:val="25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Kode</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Item Data</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Data</w:t>
            </w:r>
          </w:p>
        </w:tc>
        <w:tc>
          <w:tcPr>
            <w:tcW w:w="5954" w:type="dxa"/>
            <w:tcBorders>
              <w:top w:val="single" w:sz="4" w:space="0" w:color="auto"/>
              <w:left w:val="nil"/>
              <w:bottom w:val="nil"/>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Dokumen Hukum dan Kebijakan</w:t>
            </w:r>
          </w:p>
        </w:tc>
        <w:tc>
          <w:tcPr>
            <w:tcW w:w="1524"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Kategori Data</w:t>
            </w:r>
          </w:p>
        </w:tc>
      </w:tr>
      <w:tr w:rsidR="0040647D" w:rsidRPr="0040647D" w:rsidTr="0040647D">
        <w:trPr>
          <w:trHeight w:val="2040"/>
        </w:trPr>
        <w:tc>
          <w:tcPr>
            <w:tcW w:w="714" w:type="dxa"/>
            <w:tcBorders>
              <w:top w:val="nil"/>
              <w:left w:val="single" w:sz="4" w:space="0" w:color="auto"/>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AIa1</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Data/informasi pembuatan RTRW</w:t>
            </w:r>
          </w:p>
        </w:tc>
        <w:tc>
          <w:tcPr>
            <w:tcW w:w="1417"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tidak diperoleh dokumen khusus tentang transparansi nformasi pembuatan RTRW.Namun ada dokumen RTRW yang masih berbentuk draft.Data yang digunakan dalam RTRW adalah data yang bersumber dari data dasar kab. Poso yang disusun oleh kementrian pekerjaan umum sehingga tidak sesuai dengan kondisi poso. Validasi data menggunakan Persetujuan Subtansi Raperda Kab. Poso tentang RTRW Kab. Poso dari kemnetrian PU</w:t>
            </w:r>
          </w:p>
        </w:tc>
        <w:tc>
          <w:tcPr>
            <w:tcW w:w="152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765"/>
        </w:trPr>
        <w:tc>
          <w:tcPr>
            <w:tcW w:w="714" w:type="dxa"/>
            <w:tcBorders>
              <w:top w:val="nil"/>
              <w:left w:val="single" w:sz="4" w:space="0" w:color="auto"/>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AIa2</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Informasi rencana pembentukan RTRW(P)</w:t>
            </w:r>
          </w:p>
        </w:tc>
        <w:tc>
          <w:tcPr>
            <w:tcW w:w="1417"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xml:space="preserve">tidak diperoleh dokumen, tetapi pemda poso pernah melakukan FGD yang isinya menyampaikan rencana pemebentukan RTRW sebanyak 5 kali </w:t>
            </w:r>
          </w:p>
        </w:tc>
        <w:tc>
          <w:tcPr>
            <w:tcW w:w="152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2</w:t>
            </w:r>
          </w:p>
        </w:tc>
      </w:tr>
      <w:tr w:rsidR="0040647D" w:rsidRPr="0040647D" w:rsidTr="0040647D">
        <w:trPr>
          <w:trHeight w:val="1020"/>
        </w:trPr>
        <w:tc>
          <w:tcPr>
            <w:tcW w:w="714" w:type="dxa"/>
            <w:tcBorders>
              <w:top w:val="nil"/>
              <w:left w:val="single" w:sz="4" w:space="0" w:color="auto"/>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AIa3</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Pengumuman usulan perubahan peruntukan</w:t>
            </w:r>
          </w:p>
        </w:tc>
        <w:tc>
          <w:tcPr>
            <w:tcW w:w="1417"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tidak diperoleh dokumen yang khusus soal ini. perubahan peruntukan lahan saat ini sudah termuat dalam draft Ranperda tentang rencanatata ruang dan wilayah kab. Poso yang sedang digodok di DPRD</w:t>
            </w:r>
          </w:p>
        </w:tc>
        <w:tc>
          <w:tcPr>
            <w:tcW w:w="152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765"/>
        </w:trPr>
        <w:tc>
          <w:tcPr>
            <w:tcW w:w="714" w:type="dxa"/>
            <w:tcBorders>
              <w:top w:val="nil"/>
              <w:left w:val="single" w:sz="4" w:space="0" w:color="auto"/>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AIa4</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Kejelasan informasi  yang dapat diakses berdasarkan uji konsekuensi</w:t>
            </w:r>
          </w:p>
        </w:tc>
        <w:tc>
          <w:tcPr>
            <w:tcW w:w="1417"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tidak ada ruang informasi dan aturan. Akan tetapi pemda memberitahukan ketika ada pengurusan Ijin mendidikan bangunan seperti lokasi sempadan sungai, daerah hijau dll</w:t>
            </w:r>
          </w:p>
        </w:tc>
        <w:tc>
          <w:tcPr>
            <w:tcW w:w="152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255"/>
        </w:trPr>
        <w:tc>
          <w:tcPr>
            <w:tcW w:w="714" w:type="dxa"/>
            <w:tcBorders>
              <w:top w:val="nil"/>
              <w:left w:val="nil"/>
              <w:bottom w:val="nil"/>
              <w:right w:val="nil"/>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5954" w:type="dxa"/>
            <w:tcBorders>
              <w:top w:val="nil"/>
              <w:left w:val="nil"/>
              <w:bottom w:val="nil"/>
              <w:right w:val="nil"/>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524" w:type="dxa"/>
            <w:tcBorders>
              <w:top w:val="nil"/>
              <w:left w:val="nil"/>
              <w:bottom w:val="nil"/>
              <w:right w:val="nil"/>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p>
        </w:tc>
      </w:tr>
      <w:tr w:rsidR="0040647D" w:rsidRPr="0040647D" w:rsidTr="0040647D">
        <w:trPr>
          <w:trHeight w:val="765"/>
        </w:trPr>
        <w:tc>
          <w:tcPr>
            <w:tcW w:w="1990" w:type="dxa"/>
            <w:gridSpan w:val="2"/>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Indikator</w:t>
            </w:r>
          </w:p>
        </w:tc>
        <w:tc>
          <w:tcPr>
            <w:tcW w:w="8895" w:type="dxa"/>
            <w:gridSpan w:val="3"/>
            <w:tcBorders>
              <w:top w:val="nil"/>
              <w:left w:val="nil"/>
              <w:bottom w:val="nil"/>
              <w:right w:val="nil"/>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 b. Keberadaan dan komprehensiveness aturan yang mengatur penyusunan perencanaan kehutanan dan Rencana Tata Ruang dan Rencana Wilayah (RTRW) yang partisipatif</w:t>
            </w:r>
          </w:p>
        </w:tc>
      </w:tr>
      <w:tr w:rsidR="0040647D" w:rsidRPr="0040647D" w:rsidTr="0040647D">
        <w:trPr>
          <w:trHeight w:val="810"/>
        </w:trPr>
        <w:tc>
          <w:tcPr>
            <w:tcW w:w="1990" w:type="dxa"/>
            <w:gridSpan w:val="2"/>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Objek Analisis</w:t>
            </w:r>
          </w:p>
        </w:tc>
        <w:tc>
          <w:tcPr>
            <w:tcW w:w="8895" w:type="dxa"/>
            <w:gridSpan w:val="3"/>
            <w:tcBorders>
              <w:top w:val="nil"/>
              <w:left w:val="nil"/>
              <w:bottom w:val="single" w:sz="4" w:space="0" w:color="auto"/>
              <w:right w:val="nil"/>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 Undang-Undang, Peraturan Pemerintah, Peraturan Presiden, Keputusan Presiden, Instruksi Presiden, Peraturan Menteri, Keputusan Menteri, Peraturan Gubernur, Peraturan Daerah atau peraturan yang bersifat teknis</w:t>
            </w:r>
          </w:p>
        </w:tc>
      </w:tr>
      <w:tr w:rsidR="0040647D" w:rsidRPr="0040647D" w:rsidTr="0040647D">
        <w:trPr>
          <w:trHeight w:val="25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Kode</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Item Data</w:t>
            </w:r>
          </w:p>
        </w:tc>
        <w:tc>
          <w:tcPr>
            <w:tcW w:w="1417"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Data</w:t>
            </w:r>
          </w:p>
        </w:tc>
        <w:tc>
          <w:tcPr>
            <w:tcW w:w="5954" w:type="dxa"/>
            <w:tcBorders>
              <w:top w:val="nil"/>
              <w:left w:val="nil"/>
              <w:bottom w:val="nil"/>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Dokumen Hukum dan Kebijakan</w:t>
            </w:r>
          </w:p>
        </w:tc>
        <w:tc>
          <w:tcPr>
            <w:tcW w:w="152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Kategori Data</w:t>
            </w:r>
          </w:p>
        </w:tc>
      </w:tr>
      <w:tr w:rsidR="0040647D" w:rsidRPr="0040647D" w:rsidTr="0040647D">
        <w:trPr>
          <w:trHeight w:val="1020"/>
        </w:trPr>
        <w:tc>
          <w:tcPr>
            <w:tcW w:w="714" w:type="dxa"/>
            <w:tcBorders>
              <w:top w:val="nil"/>
              <w:left w:val="single" w:sz="4" w:space="0" w:color="auto"/>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AIb1</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Mekanisme pengambilan keputusan yang memudahkan keterlibatan pihak yang berkepentingan</w:t>
            </w:r>
          </w:p>
        </w:tc>
        <w:tc>
          <w:tcPr>
            <w:tcW w:w="1417"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tidak diperoleh dokumen. Pemda pernah melakukan FGD yang menyampaikan mekanisme pengambilan keputusan tersebut</w:t>
            </w:r>
          </w:p>
        </w:tc>
        <w:tc>
          <w:tcPr>
            <w:tcW w:w="152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765"/>
        </w:trPr>
        <w:tc>
          <w:tcPr>
            <w:tcW w:w="714" w:type="dxa"/>
            <w:tcBorders>
              <w:top w:val="nil"/>
              <w:left w:val="single" w:sz="4" w:space="0" w:color="auto"/>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AIb2</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xml:space="preserve">Petugas khusus yang bertanggung jawab mengelola </w:t>
            </w:r>
            <w:r w:rsidRPr="0040647D">
              <w:rPr>
                <w:rFonts w:ascii="Times New Roman" w:eastAsia="Times New Roman" w:hAnsi="Times New Roman" w:cs="Times New Roman"/>
                <w:color w:val="000000"/>
                <w:sz w:val="20"/>
                <w:szCs w:val="20"/>
                <w:lang w:eastAsia="id-ID"/>
              </w:rPr>
              <w:lastRenderedPageBreak/>
              <w:t>masukan publik</w:t>
            </w:r>
          </w:p>
        </w:tc>
        <w:tc>
          <w:tcPr>
            <w:tcW w:w="1417"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lastRenderedPageBreak/>
              <w:t> </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Tidak ada mekanisme atau aturannya</w:t>
            </w:r>
          </w:p>
        </w:tc>
        <w:tc>
          <w:tcPr>
            <w:tcW w:w="152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510"/>
        </w:trPr>
        <w:tc>
          <w:tcPr>
            <w:tcW w:w="714" w:type="dxa"/>
            <w:tcBorders>
              <w:top w:val="nil"/>
              <w:left w:val="single" w:sz="4" w:space="0" w:color="auto"/>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lastRenderedPageBreak/>
              <w:t>AIb3</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Dokumentasi setiap masukan (tertulis/tidak tertulis)</w:t>
            </w:r>
          </w:p>
        </w:tc>
        <w:tc>
          <w:tcPr>
            <w:tcW w:w="1417"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xml:space="preserve">tidak diperoleh dokumen.  Dalam FGD dokumentasi merupakan sesuatu yang disyaratkan dalam penyusunan RTRW </w:t>
            </w:r>
          </w:p>
        </w:tc>
        <w:tc>
          <w:tcPr>
            <w:tcW w:w="152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2</w:t>
            </w:r>
          </w:p>
        </w:tc>
      </w:tr>
      <w:tr w:rsidR="0040647D" w:rsidRPr="0040647D" w:rsidTr="0040647D">
        <w:trPr>
          <w:trHeight w:val="510"/>
        </w:trPr>
        <w:tc>
          <w:tcPr>
            <w:tcW w:w="714" w:type="dxa"/>
            <w:tcBorders>
              <w:top w:val="nil"/>
              <w:left w:val="single" w:sz="4" w:space="0" w:color="auto"/>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AIb4</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Mekanisme respon terhadap masukan yang ada</w:t>
            </w:r>
          </w:p>
        </w:tc>
        <w:tc>
          <w:tcPr>
            <w:tcW w:w="1417"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Tidak ada aturan atau forum yang disiapkan untuk itu</w:t>
            </w:r>
          </w:p>
        </w:tc>
        <w:tc>
          <w:tcPr>
            <w:tcW w:w="152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510"/>
        </w:trPr>
        <w:tc>
          <w:tcPr>
            <w:tcW w:w="714" w:type="dxa"/>
            <w:tcBorders>
              <w:top w:val="nil"/>
              <w:left w:val="single" w:sz="4" w:space="0" w:color="auto"/>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AIb5</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Penjelasan atas keputusan akhir yang diambil</w:t>
            </w:r>
          </w:p>
        </w:tc>
        <w:tc>
          <w:tcPr>
            <w:tcW w:w="1417"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tidak diperoleh dokumen</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255"/>
        </w:trPr>
        <w:tc>
          <w:tcPr>
            <w:tcW w:w="714" w:type="dxa"/>
            <w:tcBorders>
              <w:top w:val="nil"/>
              <w:left w:val="single" w:sz="4" w:space="0" w:color="auto"/>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AIb6</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Pelaksanaan proses partisipasi</w:t>
            </w:r>
          </w:p>
        </w:tc>
        <w:tc>
          <w:tcPr>
            <w:tcW w:w="1417"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Belum ada aturan tertulis terkait transparansi dan partisipasi</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255"/>
        </w:trPr>
        <w:tc>
          <w:tcPr>
            <w:tcW w:w="714" w:type="dxa"/>
            <w:tcBorders>
              <w:top w:val="nil"/>
              <w:left w:val="nil"/>
              <w:bottom w:val="nil"/>
              <w:right w:val="nil"/>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595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52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p>
        </w:tc>
      </w:tr>
      <w:tr w:rsidR="0040647D" w:rsidRPr="0040647D" w:rsidTr="0040647D">
        <w:trPr>
          <w:trHeight w:val="795"/>
        </w:trPr>
        <w:tc>
          <w:tcPr>
            <w:tcW w:w="1990" w:type="dxa"/>
            <w:gridSpan w:val="2"/>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Indikator</w:t>
            </w:r>
          </w:p>
        </w:tc>
        <w:tc>
          <w:tcPr>
            <w:tcW w:w="8895" w:type="dxa"/>
            <w:gridSpan w:val="3"/>
            <w:tcBorders>
              <w:top w:val="nil"/>
              <w:left w:val="nil"/>
              <w:bottom w:val="nil"/>
              <w:right w:val="nil"/>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 c. Keberadaan dan komprehensiveness aturan yang mengatur program peningkatan kapasitas masyarakat dalam proses perencanaan kehutanan dan Rencana Tata Ruang dan Rencana Wilayah (RTRW)</w:t>
            </w:r>
          </w:p>
        </w:tc>
      </w:tr>
      <w:tr w:rsidR="0040647D" w:rsidRPr="0040647D" w:rsidTr="0040647D">
        <w:trPr>
          <w:trHeight w:val="915"/>
        </w:trPr>
        <w:tc>
          <w:tcPr>
            <w:tcW w:w="1990" w:type="dxa"/>
            <w:gridSpan w:val="2"/>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Objek Analisis</w:t>
            </w:r>
          </w:p>
        </w:tc>
        <w:tc>
          <w:tcPr>
            <w:tcW w:w="8895" w:type="dxa"/>
            <w:gridSpan w:val="3"/>
            <w:tcBorders>
              <w:top w:val="nil"/>
              <w:left w:val="nil"/>
              <w:bottom w:val="single" w:sz="4" w:space="0" w:color="auto"/>
              <w:right w:val="nil"/>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 Undang-Undang, Peraturan Pemerintah, Peraturan Presiden, Keputusan Presiden, Instruksi Presiden, Peraturan Menteri, Keputusan Menteri, Peraturan Gubernur, Peraturan Daerah atau peraturan yang bersifat Teknis, RPJMN/D, Renstranas/da</w:t>
            </w:r>
          </w:p>
        </w:tc>
      </w:tr>
      <w:tr w:rsidR="0040647D" w:rsidRPr="0040647D" w:rsidTr="0040647D">
        <w:trPr>
          <w:trHeight w:val="255"/>
        </w:trPr>
        <w:tc>
          <w:tcPr>
            <w:tcW w:w="714" w:type="dxa"/>
            <w:tcBorders>
              <w:top w:val="single" w:sz="4" w:space="0" w:color="auto"/>
              <w:left w:val="single" w:sz="4" w:space="0" w:color="auto"/>
              <w:bottom w:val="nil"/>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Kode</w:t>
            </w:r>
          </w:p>
        </w:tc>
        <w:tc>
          <w:tcPr>
            <w:tcW w:w="1276" w:type="dxa"/>
            <w:tcBorders>
              <w:top w:val="single" w:sz="4" w:space="0" w:color="auto"/>
              <w:left w:val="nil"/>
              <w:bottom w:val="nil"/>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Item Data</w:t>
            </w:r>
          </w:p>
        </w:tc>
        <w:tc>
          <w:tcPr>
            <w:tcW w:w="1417" w:type="dxa"/>
            <w:tcBorders>
              <w:top w:val="nil"/>
              <w:left w:val="nil"/>
              <w:bottom w:val="nil"/>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Data</w:t>
            </w:r>
          </w:p>
        </w:tc>
        <w:tc>
          <w:tcPr>
            <w:tcW w:w="5954" w:type="dxa"/>
            <w:tcBorders>
              <w:top w:val="nil"/>
              <w:left w:val="nil"/>
              <w:bottom w:val="nil"/>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Dokumen Hukum dan Kebijakan</w:t>
            </w:r>
          </w:p>
        </w:tc>
        <w:tc>
          <w:tcPr>
            <w:tcW w:w="1524" w:type="dxa"/>
            <w:tcBorders>
              <w:top w:val="nil"/>
              <w:left w:val="nil"/>
              <w:bottom w:val="nil"/>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Kategori Data</w:t>
            </w:r>
          </w:p>
        </w:tc>
      </w:tr>
      <w:tr w:rsidR="0040647D" w:rsidRPr="0040647D" w:rsidTr="0040647D">
        <w:trPr>
          <w:trHeight w:val="102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AIc1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Program peningkatan kapasitas masyarakat Adat/ Lokal dalam perencanaan kehutanan dan wilayah</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single" w:sz="4" w:space="0" w:color="auto"/>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Belum ada aturan</w:t>
            </w:r>
          </w:p>
        </w:tc>
        <w:tc>
          <w:tcPr>
            <w:tcW w:w="1524" w:type="dxa"/>
            <w:tcBorders>
              <w:top w:val="single" w:sz="4" w:space="0" w:color="auto"/>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765"/>
        </w:trPr>
        <w:tc>
          <w:tcPr>
            <w:tcW w:w="714" w:type="dxa"/>
            <w:tcBorders>
              <w:top w:val="nil"/>
              <w:left w:val="single" w:sz="4" w:space="0" w:color="auto"/>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AIc2</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Program peningkatan kapasitas pemerintah dalam perencanaan kehuatanan dan wilayah</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xml:space="preserve">tidak diperoleh dokumen. </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2</w:t>
            </w:r>
          </w:p>
        </w:tc>
      </w:tr>
      <w:tr w:rsidR="0040647D" w:rsidRPr="0040647D" w:rsidTr="0040647D">
        <w:trPr>
          <w:trHeight w:val="255"/>
        </w:trPr>
        <w:tc>
          <w:tcPr>
            <w:tcW w:w="714" w:type="dxa"/>
            <w:tcBorders>
              <w:top w:val="nil"/>
              <w:left w:val="nil"/>
              <w:bottom w:val="nil"/>
              <w:right w:val="nil"/>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595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52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p>
        </w:tc>
      </w:tr>
      <w:tr w:rsidR="0040647D" w:rsidRPr="0040647D" w:rsidTr="0040647D">
        <w:trPr>
          <w:trHeight w:val="825"/>
        </w:trPr>
        <w:tc>
          <w:tcPr>
            <w:tcW w:w="1990" w:type="dxa"/>
            <w:gridSpan w:val="2"/>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Indikator</w:t>
            </w:r>
          </w:p>
        </w:tc>
        <w:tc>
          <w:tcPr>
            <w:tcW w:w="8895" w:type="dxa"/>
            <w:gridSpan w:val="3"/>
            <w:tcBorders>
              <w:top w:val="nil"/>
              <w:left w:val="nil"/>
              <w:bottom w:val="nil"/>
              <w:right w:val="nil"/>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 d. Keberadaan dan komprehensiveness aturan yang mengatur Mekanisme penanganan pengaduan dalam proses perencanaan kehutanan dan Rencana Tata Ruang dan Rencana Wilayah (RTRW)</w:t>
            </w:r>
          </w:p>
        </w:tc>
      </w:tr>
      <w:tr w:rsidR="0040647D" w:rsidRPr="0040647D" w:rsidTr="0040647D">
        <w:trPr>
          <w:trHeight w:val="885"/>
        </w:trPr>
        <w:tc>
          <w:tcPr>
            <w:tcW w:w="1990" w:type="dxa"/>
            <w:gridSpan w:val="2"/>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Data</w:t>
            </w:r>
          </w:p>
        </w:tc>
        <w:tc>
          <w:tcPr>
            <w:tcW w:w="8895" w:type="dxa"/>
            <w:gridSpan w:val="3"/>
            <w:tcBorders>
              <w:top w:val="nil"/>
              <w:left w:val="nil"/>
              <w:bottom w:val="single" w:sz="4" w:space="0" w:color="auto"/>
              <w:right w:val="nil"/>
            </w:tcBorders>
            <w:shd w:val="clear" w:color="auto" w:fill="auto"/>
            <w:vAlign w:val="center"/>
            <w:hideMark/>
          </w:tcPr>
          <w:p w:rsidR="0040647D" w:rsidRPr="0040647D" w:rsidRDefault="0040647D" w:rsidP="0040647D">
            <w:pPr>
              <w:spacing w:after="24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 Undang-Undang, Peraturan Pemerintah, Peraturan Presiden, Keputusan Presiden, Instruksi Presiden, Peraturan Menteri, Keputusan Menteri, Peraturan Gubernur, Peraturan Daerah atau peraturan yang bersifat teknis</w:t>
            </w:r>
          </w:p>
        </w:tc>
      </w:tr>
      <w:tr w:rsidR="0040647D" w:rsidRPr="0040647D" w:rsidTr="0040647D">
        <w:trPr>
          <w:trHeight w:val="255"/>
        </w:trPr>
        <w:tc>
          <w:tcPr>
            <w:tcW w:w="714" w:type="dxa"/>
            <w:tcBorders>
              <w:top w:val="single" w:sz="4" w:space="0" w:color="auto"/>
              <w:left w:val="single" w:sz="4" w:space="0" w:color="auto"/>
              <w:bottom w:val="nil"/>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Kode</w:t>
            </w:r>
          </w:p>
        </w:tc>
        <w:tc>
          <w:tcPr>
            <w:tcW w:w="1276" w:type="dxa"/>
            <w:tcBorders>
              <w:top w:val="single" w:sz="4" w:space="0" w:color="auto"/>
              <w:left w:val="nil"/>
              <w:bottom w:val="nil"/>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Item Data</w:t>
            </w:r>
          </w:p>
        </w:tc>
        <w:tc>
          <w:tcPr>
            <w:tcW w:w="1417" w:type="dxa"/>
            <w:tcBorders>
              <w:top w:val="nil"/>
              <w:left w:val="nil"/>
              <w:bottom w:val="nil"/>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Data</w:t>
            </w:r>
          </w:p>
        </w:tc>
        <w:tc>
          <w:tcPr>
            <w:tcW w:w="5954" w:type="dxa"/>
            <w:tcBorders>
              <w:top w:val="nil"/>
              <w:left w:val="nil"/>
              <w:bottom w:val="nil"/>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Dokumen Hukum dan Kebijakan</w:t>
            </w:r>
          </w:p>
        </w:tc>
        <w:tc>
          <w:tcPr>
            <w:tcW w:w="1524" w:type="dxa"/>
            <w:tcBorders>
              <w:top w:val="nil"/>
              <w:left w:val="nil"/>
              <w:bottom w:val="nil"/>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Kategori Data</w:t>
            </w:r>
          </w:p>
        </w:tc>
      </w:tr>
      <w:tr w:rsidR="0040647D" w:rsidRPr="0040647D" w:rsidTr="0040647D">
        <w:trPr>
          <w:trHeight w:val="76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AId1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xml:space="preserve">Mekanisme pengaduan (termasuk ketentuan tenggat </w:t>
            </w:r>
            <w:r w:rsidRPr="0040647D">
              <w:rPr>
                <w:rFonts w:ascii="Times New Roman" w:eastAsia="Times New Roman" w:hAnsi="Times New Roman" w:cs="Times New Roman"/>
                <w:color w:val="000000"/>
                <w:sz w:val="20"/>
                <w:szCs w:val="20"/>
                <w:lang w:eastAsia="id-ID"/>
              </w:rPr>
              <w:lastRenderedPageBreak/>
              <w:t>waktu &amp; tindakan yang diambil)</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lastRenderedPageBreak/>
              <w:t> </w:t>
            </w:r>
          </w:p>
        </w:tc>
        <w:tc>
          <w:tcPr>
            <w:tcW w:w="5954" w:type="dxa"/>
            <w:tcBorders>
              <w:top w:val="single" w:sz="4" w:space="0" w:color="auto"/>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Belum ada aturan</w:t>
            </w:r>
          </w:p>
        </w:tc>
        <w:tc>
          <w:tcPr>
            <w:tcW w:w="1524" w:type="dxa"/>
            <w:tcBorders>
              <w:top w:val="single" w:sz="4" w:space="0" w:color="auto"/>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510"/>
        </w:trPr>
        <w:tc>
          <w:tcPr>
            <w:tcW w:w="714" w:type="dxa"/>
            <w:tcBorders>
              <w:top w:val="nil"/>
              <w:left w:val="single" w:sz="4" w:space="0" w:color="auto"/>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lastRenderedPageBreak/>
              <w:t>AId2</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Mekanisme resolusi konflik</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Belum ada aturan resminya. mekanise yang dilakukan, selama ini adalah melakukan penyelesaian dengan cara-cara kekeluargaan</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765"/>
        </w:trPr>
        <w:tc>
          <w:tcPr>
            <w:tcW w:w="714" w:type="dxa"/>
            <w:tcBorders>
              <w:top w:val="nil"/>
              <w:left w:val="single" w:sz="4" w:space="0" w:color="auto"/>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AId3</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Keahlian &amp; pemahaman mediator tentang isu-isu masyarakat adat/lokal</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Penanganan konflik selama ini mengedepankan aspek kedekatan petugas dengan masyarakat dan belum pernah menggunakan tenaga mediator (belum ada dokumen tertulis)</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255"/>
        </w:trPr>
        <w:tc>
          <w:tcPr>
            <w:tcW w:w="71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595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52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p>
        </w:tc>
      </w:tr>
      <w:tr w:rsidR="0040647D" w:rsidRPr="0040647D" w:rsidTr="0040647D">
        <w:trPr>
          <w:trHeight w:val="330"/>
        </w:trPr>
        <w:tc>
          <w:tcPr>
            <w:tcW w:w="1990" w:type="dxa"/>
            <w:gridSpan w:val="2"/>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Isu dalam PGA REDD+</w:t>
            </w:r>
          </w:p>
        </w:tc>
        <w:tc>
          <w:tcPr>
            <w:tcW w:w="7371" w:type="dxa"/>
            <w:gridSpan w:val="2"/>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  II.Pengaturan Hak</w:t>
            </w:r>
          </w:p>
        </w:tc>
        <w:tc>
          <w:tcPr>
            <w:tcW w:w="152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p>
        </w:tc>
      </w:tr>
      <w:tr w:rsidR="0040647D" w:rsidRPr="0040647D" w:rsidTr="0040647D">
        <w:trPr>
          <w:trHeight w:val="690"/>
        </w:trPr>
        <w:tc>
          <w:tcPr>
            <w:tcW w:w="1990" w:type="dxa"/>
            <w:gridSpan w:val="2"/>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Indikator</w:t>
            </w:r>
          </w:p>
        </w:tc>
        <w:tc>
          <w:tcPr>
            <w:tcW w:w="8895" w:type="dxa"/>
            <w:gridSpan w:val="3"/>
            <w:tcBorders>
              <w:top w:val="nil"/>
              <w:left w:val="nil"/>
              <w:bottom w:val="nil"/>
              <w:right w:val="nil"/>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 a. Keberadaan dan komprehensiveness aturan yang mengatur transparansi penetapan hak kelola hutan bagi masyarakat adat/lokal dan bisnis</w:t>
            </w:r>
          </w:p>
        </w:tc>
      </w:tr>
      <w:tr w:rsidR="0040647D" w:rsidRPr="0040647D" w:rsidTr="0040647D">
        <w:trPr>
          <w:trHeight w:val="630"/>
        </w:trPr>
        <w:tc>
          <w:tcPr>
            <w:tcW w:w="1990" w:type="dxa"/>
            <w:gridSpan w:val="2"/>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Data</w:t>
            </w:r>
          </w:p>
        </w:tc>
        <w:tc>
          <w:tcPr>
            <w:tcW w:w="8895" w:type="dxa"/>
            <w:gridSpan w:val="3"/>
            <w:tcBorders>
              <w:top w:val="nil"/>
              <w:left w:val="nil"/>
              <w:bottom w:val="single" w:sz="4" w:space="0" w:color="auto"/>
              <w:right w:val="nil"/>
            </w:tcBorders>
            <w:shd w:val="clear" w:color="auto" w:fill="auto"/>
            <w:vAlign w:val="center"/>
            <w:hideMark/>
          </w:tcPr>
          <w:p w:rsidR="0040647D" w:rsidRPr="0040647D" w:rsidRDefault="0040647D" w:rsidP="0040647D">
            <w:pPr>
              <w:spacing w:after="24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 Sumber (Undang2 keterbukaan informasi publik, PP, permenhut ttg pemberian ijin, pergub/bup (terkait kehutanan), Permenhut 7/2011</w:t>
            </w:r>
            <w:r w:rsidRPr="0040647D">
              <w:rPr>
                <w:rFonts w:ascii="Times New Roman" w:eastAsia="Times New Roman" w:hAnsi="Times New Roman" w:cs="Times New Roman"/>
                <w:b/>
                <w:bCs/>
                <w:color w:val="000000"/>
                <w:sz w:val="20"/>
                <w:szCs w:val="20"/>
                <w:lang w:eastAsia="id-ID"/>
              </w:rPr>
              <w:br/>
            </w:r>
          </w:p>
        </w:tc>
      </w:tr>
      <w:tr w:rsidR="0040647D" w:rsidRPr="0040647D" w:rsidTr="0040647D">
        <w:trPr>
          <w:trHeight w:val="25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Kode</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Item Data</w:t>
            </w:r>
          </w:p>
        </w:tc>
        <w:tc>
          <w:tcPr>
            <w:tcW w:w="1417"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Data</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Dokumen Hukum dan Kebijakan</w:t>
            </w:r>
          </w:p>
        </w:tc>
        <w:tc>
          <w:tcPr>
            <w:tcW w:w="152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Kategori Data</w:t>
            </w:r>
          </w:p>
        </w:tc>
      </w:tr>
      <w:tr w:rsidR="0040647D" w:rsidRPr="0040647D" w:rsidTr="0040647D">
        <w:trPr>
          <w:trHeight w:val="178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AIIa1</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Ketersediaan seluruh informasi secara sistematis sehingga mudah diakses</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Saat ini Belum ada, tetapi dengan adanya Perda No. 5 tahun 2012 tentang organisasi dan tata kerja kesatuan pengelolaan hutan produksi model Sintuwu maroso, akan memungkinkan dapat melaksanakan hal tersebut yang akan bertugas melaksanakan pengelolaan hutan terkait rencana pengelolaan hutan, tata hutan, penggunaan, rehabilitasi, reklamasi , perlindungan dan konservasi alam.</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2</w:t>
            </w:r>
          </w:p>
        </w:tc>
      </w:tr>
      <w:tr w:rsidR="0040647D" w:rsidRPr="0040647D" w:rsidTr="0040647D">
        <w:trPr>
          <w:trHeight w:val="76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AIIa2</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Kewajiban memiliki petugas khusus yang menangani permintaan informasi</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Belum ada aturan tentang hal tersebut</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AIIa3</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Kewajiban pemberian akses bagi publik baik secara proaktif maupun berdasarkan permintaan</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Pemberian akses senantiasa terbuka bagi masyarakat meskipun tidak ada aturan yang melandasinya</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AIIa4</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Informasi yang diumumkan tentang rencana kegiatan/proyek yang disertai dengan dokumen pendukungnya</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Perda</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Perda No 35 tahun 2008 tentang pemanfaatan Hutan dan pemungutan hasil hutan, mengatur tentang berbgai hal. Setiap proyek senantiasa mencantumkan papan proyek meskipun dokumen tentang proyek atau kegiatan tersebut tidak pernah dapat diketahui</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4</w:t>
            </w:r>
          </w:p>
        </w:tc>
      </w:tr>
      <w:tr w:rsidR="0040647D" w:rsidRPr="0040647D" w:rsidTr="0040647D">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lastRenderedPageBreak/>
              <w:t>AIIa5</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Belum ada aturan tentang hal tersebut</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76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AIIa6</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Sanksi bagi pihak-pihak yang sengaja menghambat akses publik atas informasi</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Sebenarnya terdapat UU transparansi terhadap informasi publik hanya selama ini tidak pernah diberlakukan terkait dengan transparansi informasi untuk publik</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255"/>
        </w:trPr>
        <w:tc>
          <w:tcPr>
            <w:tcW w:w="71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595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52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p>
        </w:tc>
      </w:tr>
      <w:tr w:rsidR="0040647D" w:rsidRPr="0040647D" w:rsidTr="0040647D">
        <w:trPr>
          <w:trHeight w:val="645"/>
        </w:trPr>
        <w:tc>
          <w:tcPr>
            <w:tcW w:w="1990" w:type="dxa"/>
            <w:gridSpan w:val="2"/>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Indikator</w:t>
            </w:r>
          </w:p>
        </w:tc>
        <w:tc>
          <w:tcPr>
            <w:tcW w:w="8895" w:type="dxa"/>
            <w:gridSpan w:val="3"/>
            <w:tcBorders>
              <w:top w:val="nil"/>
              <w:left w:val="nil"/>
              <w:bottom w:val="nil"/>
              <w:right w:val="nil"/>
            </w:tcBorders>
            <w:shd w:val="clear" w:color="auto" w:fill="auto"/>
            <w:vAlign w:val="center"/>
            <w:hideMark/>
          </w:tcPr>
          <w:p w:rsidR="0040647D" w:rsidRPr="0040647D" w:rsidRDefault="0040647D" w:rsidP="0040647D">
            <w:pPr>
              <w:spacing w:after="24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 b. Keberadaan dan komprehensiveness aturan yang mengatur pengakuan atas hak kelola hutan yang dimiliki oleh masyarakat adat, masyarakat lokal dan bisnis  terhadap hutan</w:t>
            </w:r>
          </w:p>
        </w:tc>
      </w:tr>
      <w:tr w:rsidR="0040647D" w:rsidRPr="0040647D" w:rsidTr="0040647D">
        <w:trPr>
          <w:trHeight w:val="390"/>
        </w:trPr>
        <w:tc>
          <w:tcPr>
            <w:tcW w:w="1990" w:type="dxa"/>
            <w:gridSpan w:val="2"/>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Data</w:t>
            </w:r>
          </w:p>
        </w:tc>
        <w:tc>
          <w:tcPr>
            <w:tcW w:w="8895" w:type="dxa"/>
            <w:gridSpan w:val="3"/>
            <w:tcBorders>
              <w:top w:val="nil"/>
              <w:left w:val="nil"/>
              <w:bottom w:val="single" w:sz="4" w:space="0" w:color="auto"/>
              <w:right w:val="nil"/>
            </w:tcBorders>
            <w:shd w:val="clear" w:color="auto" w:fill="auto"/>
            <w:vAlign w:val="center"/>
            <w:hideMark/>
          </w:tcPr>
          <w:p w:rsidR="0040647D" w:rsidRPr="0040647D" w:rsidRDefault="0040647D" w:rsidP="0040647D">
            <w:pPr>
              <w:spacing w:after="24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 UU, Permenhut, Perda</w:t>
            </w:r>
            <w:r w:rsidRPr="0040647D">
              <w:rPr>
                <w:rFonts w:ascii="Times New Roman" w:eastAsia="Times New Roman" w:hAnsi="Times New Roman" w:cs="Times New Roman"/>
                <w:b/>
                <w:bCs/>
                <w:color w:val="000000"/>
                <w:sz w:val="20"/>
                <w:szCs w:val="20"/>
                <w:lang w:eastAsia="id-ID"/>
              </w:rPr>
              <w:br/>
            </w:r>
          </w:p>
        </w:tc>
      </w:tr>
      <w:tr w:rsidR="0040647D" w:rsidRPr="0040647D" w:rsidTr="0040647D">
        <w:trPr>
          <w:trHeight w:val="25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Kode</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Item Data</w:t>
            </w:r>
          </w:p>
        </w:tc>
        <w:tc>
          <w:tcPr>
            <w:tcW w:w="1417"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Data</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Dokumen Hukum dan Kebijakan</w:t>
            </w:r>
          </w:p>
        </w:tc>
        <w:tc>
          <w:tcPr>
            <w:tcW w:w="152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Kategori Data</w:t>
            </w:r>
          </w:p>
        </w:tc>
      </w:tr>
      <w:tr w:rsidR="0040647D" w:rsidRPr="0040647D" w:rsidTr="0040647D">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AIIb1</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Pengakuan atas pengelolaan wilayah adat/lokal (sejalan dengan struktur dan pola yang ada)</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Belum ada aturan</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255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AIIb2</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Mekanisme mendapatkan izin pengelolaan</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Perda</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Mekanisme mendapatkan izin pengelolaan dapat dilihat  pada perda No 35 tahun 2008 yang menyebutkan bahwa izin akan diperoleh setelah perusahaan memenuhi persyaratan-persyaratan yang di tetapkan dalam perda tersebut. persyaratan itu meliputi  pemanfaatan dan pemungutan hasil hutan pada kawasan hutan produksi dan hutan lindung, APL dan kawasan hutan produksi konversi yang memperoleh pelepasan dan ditetapkan sebagai kawasan budidaya non kehutanan serta hutan rakyat milik yang berasal dari hasil budidaya  tanaman kayu-kayuan</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178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AIIb3</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Keuntungan bagi masyarakat Adat/Lokal</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Perda</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Secara natural masyarakat adat mendapatkan hak dan keuntungan dalam ijin usaha pemanfaatan kawasan (IUP-K) sesuai pasal 26 perda no 35 tahun 2008 bahwa pemegang IUP-K dapat mengembangkan jenis usaha pada areal kerja berupa budidaya jamur, tanaman obat/herba, tanaman hias, tanaman pangan, perlebhan dan budidaya stwa dengan tidak merubah fungsi hutan</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3</w:t>
            </w:r>
          </w:p>
        </w:tc>
      </w:tr>
      <w:tr w:rsidR="0040647D" w:rsidRPr="0040647D" w:rsidTr="0040647D">
        <w:trPr>
          <w:trHeight w:val="255"/>
        </w:trPr>
        <w:tc>
          <w:tcPr>
            <w:tcW w:w="71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595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52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p>
        </w:tc>
      </w:tr>
      <w:tr w:rsidR="0040647D" w:rsidRPr="0040647D" w:rsidTr="0040647D">
        <w:trPr>
          <w:trHeight w:val="615"/>
        </w:trPr>
        <w:tc>
          <w:tcPr>
            <w:tcW w:w="1990" w:type="dxa"/>
            <w:gridSpan w:val="2"/>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Indikator</w:t>
            </w:r>
          </w:p>
        </w:tc>
        <w:tc>
          <w:tcPr>
            <w:tcW w:w="8895" w:type="dxa"/>
            <w:gridSpan w:val="3"/>
            <w:tcBorders>
              <w:top w:val="nil"/>
              <w:left w:val="nil"/>
              <w:bottom w:val="nil"/>
              <w:right w:val="nil"/>
            </w:tcBorders>
            <w:shd w:val="clear" w:color="auto" w:fill="auto"/>
            <w:vAlign w:val="center"/>
            <w:hideMark/>
          </w:tcPr>
          <w:p w:rsidR="0040647D" w:rsidRPr="0040647D" w:rsidRDefault="0040647D" w:rsidP="0040647D">
            <w:pPr>
              <w:spacing w:after="24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 c. Keberadaan dan komprehensiveness aturan yang mengatur perlindungan terhadap hak kelola hutan yang telah diberikan kepada masyarakat adat, masyarakat lokal dan bisnis</w:t>
            </w:r>
          </w:p>
        </w:tc>
      </w:tr>
      <w:tr w:rsidR="0040647D" w:rsidRPr="0040647D" w:rsidTr="0040647D">
        <w:trPr>
          <w:trHeight w:val="390"/>
        </w:trPr>
        <w:tc>
          <w:tcPr>
            <w:tcW w:w="1990" w:type="dxa"/>
            <w:gridSpan w:val="2"/>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lastRenderedPageBreak/>
              <w:t>Sumber Data</w:t>
            </w:r>
          </w:p>
        </w:tc>
        <w:tc>
          <w:tcPr>
            <w:tcW w:w="8895" w:type="dxa"/>
            <w:gridSpan w:val="3"/>
            <w:tcBorders>
              <w:top w:val="nil"/>
              <w:left w:val="nil"/>
              <w:bottom w:val="single" w:sz="4" w:space="0" w:color="auto"/>
              <w:right w:val="nil"/>
            </w:tcBorders>
            <w:shd w:val="clear" w:color="auto" w:fill="auto"/>
            <w:vAlign w:val="center"/>
            <w:hideMark/>
          </w:tcPr>
          <w:p w:rsidR="0040647D" w:rsidRPr="0040647D" w:rsidRDefault="0040647D" w:rsidP="0040647D">
            <w:pPr>
              <w:spacing w:after="24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 UU, Permenhut, Perda</w:t>
            </w:r>
            <w:r w:rsidRPr="0040647D">
              <w:rPr>
                <w:rFonts w:ascii="Times New Roman" w:eastAsia="Times New Roman" w:hAnsi="Times New Roman" w:cs="Times New Roman"/>
                <w:b/>
                <w:bCs/>
                <w:color w:val="000000"/>
                <w:sz w:val="20"/>
                <w:szCs w:val="20"/>
                <w:lang w:eastAsia="id-ID"/>
              </w:rPr>
              <w:br/>
            </w:r>
          </w:p>
        </w:tc>
      </w:tr>
      <w:tr w:rsidR="0040647D" w:rsidRPr="0040647D" w:rsidTr="0040647D">
        <w:trPr>
          <w:trHeight w:val="25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Kode</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Item Data</w:t>
            </w:r>
          </w:p>
        </w:tc>
        <w:tc>
          <w:tcPr>
            <w:tcW w:w="1417"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Data</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Dokumen Hukum dan Kebijakan</w:t>
            </w:r>
          </w:p>
        </w:tc>
        <w:tc>
          <w:tcPr>
            <w:tcW w:w="152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Kategori Data</w:t>
            </w:r>
          </w:p>
        </w:tc>
      </w:tr>
      <w:tr w:rsidR="0040647D" w:rsidRPr="0040647D" w:rsidTr="0040647D">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AIIc1</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Sanksi/ancaman hukum bagi yang melakukan perambahan (di atas lahan bebas konflik)</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Perda</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Pelanggaran atas ketentuan dalam pengelolaan hutan akan diancam dengan hukuman ketentuan pidana sesuai pasal 17 yaitu terkait pelanggaran sesuai perda no 25 tahun 2008 ttg retribusi perizinan</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3</w:t>
            </w:r>
          </w:p>
        </w:tc>
      </w:tr>
      <w:tr w:rsidR="0040647D" w:rsidRPr="0040647D" w:rsidTr="0040647D">
        <w:trPr>
          <w:trHeight w:val="76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AIIc2</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Sanksi/ancaman hukum bagi pejabat pemberi izin (di atas lahan yang telah memiliki hak)</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tidak ada aturan tertulis kecuali kode etik PNS saja</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2</w:t>
            </w:r>
          </w:p>
        </w:tc>
      </w:tr>
      <w:tr w:rsidR="0040647D" w:rsidRPr="0040647D" w:rsidTr="0040647D">
        <w:trPr>
          <w:trHeight w:val="76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AIIc3</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Ganti rugi bagi pemegang hak yang dirugikan (mudah &amp; memadai)</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Tidak ada aturan tertulis</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255"/>
        </w:trPr>
        <w:tc>
          <w:tcPr>
            <w:tcW w:w="71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595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52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p>
        </w:tc>
      </w:tr>
      <w:tr w:rsidR="0040647D" w:rsidRPr="0040647D" w:rsidTr="0040647D">
        <w:trPr>
          <w:trHeight w:val="810"/>
        </w:trPr>
        <w:tc>
          <w:tcPr>
            <w:tcW w:w="1990" w:type="dxa"/>
            <w:gridSpan w:val="2"/>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Indikator</w:t>
            </w:r>
          </w:p>
        </w:tc>
        <w:tc>
          <w:tcPr>
            <w:tcW w:w="8895" w:type="dxa"/>
            <w:gridSpan w:val="3"/>
            <w:tcBorders>
              <w:top w:val="nil"/>
              <w:left w:val="nil"/>
              <w:bottom w:val="nil"/>
              <w:right w:val="nil"/>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 d. Keberadaan dan komprehensiveness aturan yang mengatur program peningkatan kapasitas masyarakat untuk mengakses hak pengelolaan hutan</w:t>
            </w:r>
          </w:p>
        </w:tc>
      </w:tr>
      <w:tr w:rsidR="0040647D" w:rsidRPr="0040647D" w:rsidTr="0040647D">
        <w:trPr>
          <w:trHeight w:val="390"/>
        </w:trPr>
        <w:tc>
          <w:tcPr>
            <w:tcW w:w="1990" w:type="dxa"/>
            <w:gridSpan w:val="2"/>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Data</w:t>
            </w:r>
          </w:p>
        </w:tc>
        <w:tc>
          <w:tcPr>
            <w:tcW w:w="8895" w:type="dxa"/>
            <w:gridSpan w:val="3"/>
            <w:tcBorders>
              <w:top w:val="nil"/>
              <w:left w:val="nil"/>
              <w:bottom w:val="single" w:sz="4" w:space="0" w:color="auto"/>
              <w:right w:val="nil"/>
            </w:tcBorders>
            <w:shd w:val="clear" w:color="auto" w:fill="auto"/>
            <w:vAlign w:val="center"/>
            <w:hideMark/>
          </w:tcPr>
          <w:p w:rsidR="0040647D" w:rsidRPr="0040647D" w:rsidRDefault="0040647D" w:rsidP="0040647D">
            <w:pPr>
              <w:spacing w:after="24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 UU, Permenhut, Perda</w:t>
            </w:r>
            <w:r w:rsidRPr="0040647D">
              <w:rPr>
                <w:rFonts w:ascii="Times New Roman" w:eastAsia="Times New Roman" w:hAnsi="Times New Roman" w:cs="Times New Roman"/>
                <w:b/>
                <w:bCs/>
                <w:color w:val="000000"/>
                <w:sz w:val="20"/>
                <w:szCs w:val="20"/>
                <w:lang w:eastAsia="id-ID"/>
              </w:rPr>
              <w:br/>
            </w:r>
          </w:p>
        </w:tc>
      </w:tr>
      <w:tr w:rsidR="0040647D" w:rsidRPr="0040647D" w:rsidTr="0040647D">
        <w:trPr>
          <w:trHeight w:val="25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Kode</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Item Data</w:t>
            </w:r>
          </w:p>
        </w:tc>
        <w:tc>
          <w:tcPr>
            <w:tcW w:w="1417"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Data</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Dokumen Hukum dan Kebijakan</w:t>
            </w:r>
          </w:p>
        </w:tc>
        <w:tc>
          <w:tcPr>
            <w:tcW w:w="152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Kategori Data</w:t>
            </w:r>
          </w:p>
        </w:tc>
      </w:tr>
      <w:tr w:rsidR="0040647D" w:rsidRPr="0040647D" w:rsidTr="0040647D">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AIId1</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Program peningkatan kapasitas masyarakat Adat/ Lokal untuk mengakses hak pengelolaan hutan</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xml:space="preserve">Tidak ada aturan </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76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AIId2</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Program peningkatan kapasitas pemerintah (pada tingkatan) lebih rendah</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Tidak Ada aturan semuanya sesuai program rutin</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2</w:t>
            </w:r>
          </w:p>
        </w:tc>
      </w:tr>
      <w:tr w:rsidR="0040647D" w:rsidRPr="0040647D" w:rsidTr="0040647D">
        <w:trPr>
          <w:trHeight w:val="76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AIId3</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Mekanisme mengakses anggaran peningkatan kapasitas bagi masyarakat Adat/Lokal</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Tidak ada mekanisme</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76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lastRenderedPageBreak/>
              <w:t>AIId4</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Program peningkatan kapasitas masyarakat dan Pemerintah Daerah secara partisipatif</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tidak ada program</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255"/>
        </w:trPr>
        <w:tc>
          <w:tcPr>
            <w:tcW w:w="71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595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52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p>
        </w:tc>
      </w:tr>
      <w:tr w:rsidR="0040647D" w:rsidRPr="0040647D" w:rsidTr="0040647D">
        <w:trPr>
          <w:trHeight w:val="330"/>
        </w:trPr>
        <w:tc>
          <w:tcPr>
            <w:tcW w:w="1990" w:type="dxa"/>
            <w:gridSpan w:val="2"/>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Isu dalam PGA REDD+</w:t>
            </w:r>
          </w:p>
        </w:tc>
        <w:tc>
          <w:tcPr>
            <w:tcW w:w="7371" w:type="dxa"/>
            <w:gridSpan w:val="2"/>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  III. Pengorganisasian Hutan</w:t>
            </w:r>
          </w:p>
        </w:tc>
        <w:tc>
          <w:tcPr>
            <w:tcW w:w="152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p>
        </w:tc>
      </w:tr>
      <w:tr w:rsidR="0040647D" w:rsidRPr="0040647D" w:rsidTr="0040647D">
        <w:trPr>
          <w:trHeight w:val="750"/>
        </w:trPr>
        <w:tc>
          <w:tcPr>
            <w:tcW w:w="1990" w:type="dxa"/>
            <w:gridSpan w:val="2"/>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Indikator</w:t>
            </w:r>
          </w:p>
        </w:tc>
        <w:tc>
          <w:tcPr>
            <w:tcW w:w="8895" w:type="dxa"/>
            <w:gridSpan w:val="3"/>
            <w:tcBorders>
              <w:top w:val="nil"/>
              <w:left w:val="nil"/>
              <w:bottom w:val="nil"/>
              <w:right w:val="nil"/>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 xml:space="preserve">: a. Keberadaan dan komprehensiveness aturan yang mengatur akuntablitas institusi pengelolaan hutan dan lahan gambut </w:t>
            </w:r>
          </w:p>
        </w:tc>
      </w:tr>
      <w:tr w:rsidR="0040647D" w:rsidRPr="0040647D" w:rsidTr="0040647D">
        <w:trPr>
          <w:trHeight w:val="390"/>
        </w:trPr>
        <w:tc>
          <w:tcPr>
            <w:tcW w:w="1990" w:type="dxa"/>
            <w:gridSpan w:val="2"/>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Data</w:t>
            </w:r>
          </w:p>
        </w:tc>
        <w:tc>
          <w:tcPr>
            <w:tcW w:w="8895" w:type="dxa"/>
            <w:gridSpan w:val="3"/>
            <w:tcBorders>
              <w:top w:val="nil"/>
              <w:left w:val="nil"/>
              <w:bottom w:val="single" w:sz="4" w:space="0" w:color="auto"/>
              <w:right w:val="nil"/>
            </w:tcBorders>
            <w:shd w:val="clear" w:color="auto" w:fill="auto"/>
            <w:vAlign w:val="center"/>
            <w:hideMark/>
          </w:tcPr>
          <w:p w:rsidR="0040647D" w:rsidRPr="0040647D" w:rsidRDefault="0040647D" w:rsidP="0040647D">
            <w:pPr>
              <w:spacing w:after="24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 UU, Permenhut</w:t>
            </w:r>
            <w:r w:rsidRPr="0040647D">
              <w:rPr>
                <w:rFonts w:ascii="Times New Roman" w:eastAsia="Times New Roman" w:hAnsi="Times New Roman" w:cs="Times New Roman"/>
                <w:b/>
                <w:bCs/>
                <w:color w:val="000000"/>
                <w:sz w:val="20"/>
                <w:szCs w:val="20"/>
                <w:lang w:eastAsia="id-ID"/>
              </w:rPr>
              <w:br/>
            </w:r>
          </w:p>
        </w:tc>
      </w:tr>
      <w:tr w:rsidR="0040647D" w:rsidRPr="0040647D" w:rsidTr="0040647D">
        <w:trPr>
          <w:trHeight w:val="25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Kode</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Item Data</w:t>
            </w:r>
          </w:p>
        </w:tc>
        <w:tc>
          <w:tcPr>
            <w:tcW w:w="1417"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Data</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Dokumen Hukum dan Kebijakan</w:t>
            </w:r>
          </w:p>
        </w:tc>
        <w:tc>
          <w:tcPr>
            <w:tcW w:w="152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Kategori Data</w:t>
            </w:r>
          </w:p>
        </w:tc>
      </w:tr>
      <w:tr w:rsidR="0040647D" w:rsidRPr="0040647D" w:rsidTr="0040647D">
        <w:trPr>
          <w:trHeight w:val="765"/>
        </w:trPr>
        <w:tc>
          <w:tcPr>
            <w:tcW w:w="714" w:type="dxa"/>
            <w:tcBorders>
              <w:top w:val="nil"/>
              <w:left w:val="single" w:sz="4" w:space="0" w:color="auto"/>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AIIIa1</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Kejelasan tugas &amp; wewenang pengelolaan hutan &amp; lahan gambut</w:t>
            </w:r>
          </w:p>
        </w:tc>
        <w:tc>
          <w:tcPr>
            <w:tcW w:w="1417" w:type="dxa"/>
            <w:tcBorders>
              <w:top w:val="nil"/>
              <w:left w:val="nil"/>
              <w:bottom w:val="single" w:sz="4" w:space="0" w:color="auto"/>
              <w:right w:val="single" w:sz="4" w:space="0" w:color="auto"/>
            </w:tcBorders>
            <w:shd w:val="clear" w:color="000000" w:fill="FFFFFF"/>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Perda</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sangat jelas dalam Perda No. 35 tahun 2008 tentang pemanfaatan hutan dan pemnungutan hasil hutan meliputi IPPHK, IPHHBK&lt; IPK&lt; IPKR&lt; IUP_K dan IUP-JL</w:t>
            </w:r>
          </w:p>
        </w:tc>
        <w:tc>
          <w:tcPr>
            <w:tcW w:w="1524" w:type="dxa"/>
            <w:tcBorders>
              <w:top w:val="nil"/>
              <w:left w:val="nil"/>
              <w:bottom w:val="single" w:sz="4" w:space="0" w:color="auto"/>
              <w:right w:val="single" w:sz="4" w:space="0" w:color="auto"/>
            </w:tcBorders>
            <w:shd w:val="clear" w:color="000000" w:fill="FFFFFF"/>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4</w:t>
            </w:r>
          </w:p>
        </w:tc>
      </w:tr>
      <w:tr w:rsidR="0040647D" w:rsidRPr="0040647D" w:rsidTr="0040647D">
        <w:trPr>
          <w:trHeight w:val="510"/>
        </w:trPr>
        <w:tc>
          <w:tcPr>
            <w:tcW w:w="714" w:type="dxa"/>
            <w:tcBorders>
              <w:top w:val="nil"/>
              <w:left w:val="single" w:sz="4" w:space="0" w:color="auto"/>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AIIIa2</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Transparansi output tahunan dan capaian institusi</w:t>
            </w:r>
          </w:p>
        </w:tc>
        <w:tc>
          <w:tcPr>
            <w:tcW w:w="1417" w:type="dxa"/>
            <w:tcBorders>
              <w:top w:val="nil"/>
              <w:left w:val="nil"/>
              <w:bottom w:val="single" w:sz="4" w:space="0" w:color="auto"/>
              <w:right w:val="single" w:sz="4" w:space="0" w:color="auto"/>
            </w:tcBorders>
            <w:shd w:val="clear" w:color="000000" w:fill="FFFFFF"/>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Perda</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xml:space="preserve">sesuai Perda 35 tersebut untuk IPPHK wajib membuat laporan 5 bulan begitupun dengan IPHHBK DLL </w:t>
            </w:r>
          </w:p>
        </w:tc>
        <w:tc>
          <w:tcPr>
            <w:tcW w:w="1524" w:type="dxa"/>
            <w:tcBorders>
              <w:top w:val="nil"/>
              <w:left w:val="nil"/>
              <w:bottom w:val="single" w:sz="4" w:space="0" w:color="auto"/>
              <w:right w:val="single" w:sz="4" w:space="0" w:color="auto"/>
            </w:tcBorders>
            <w:shd w:val="clear" w:color="000000" w:fill="FFFFFF"/>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4</w:t>
            </w:r>
          </w:p>
        </w:tc>
      </w:tr>
      <w:tr w:rsidR="0040647D" w:rsidRPr="0040647D" w:rsidTr="0040647D">
        <w:trPr>
          <w:trHeight w:val="510"/>
        </w:trPr>
        <w:tc>
          <w:tcPr>
            <w:tcW w:w="714" w:type="dxa"/>
            <w:tcBorders>
              <w:top w:val="nil"/>
              <w:left w:val="single" w:sz="4" w:space="0" w:color="auto"/>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AIIIa3</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Anggaran berbasis kinerja (Budget based on performance)</w:t>
            </w:r>
          </w:p>
        </w:tc>
        <w:tc>
          <w:tcPr>
            <w:tcW w:w="1417" w:type="dxa"/>
            <w:tcBorders>
              <w:top w:val="nil"/>
              <w:left w:val="nil"/>
              <w:bottom w:val="single" w:sz="4" w:space="0" w:color="auto"/>
              <w:right w:val="single" w:sz="4" w:space="0" w:color="auto"/>
            </w:tcBorders>
            <w:shd w:val="clear" w:color="000000" w:fill="FFFFFF"/>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tidak diperoleh dokumen</w:t>
            </w:r>
          </w:p>
        </w:tc>
        <w:tc>
          <w:tcPr>
            <w:tcW w:w="1524" w:type="dxa"/>
            <w:tcBorders>
              <w:top w:val="nil"/>
              <w:left w:val="nil"/>
              <w:bottom w:val="single" w:sz="4" w:space="0" w:color="auto"/>
              <w:right w:val="single" w:sz="4" w:space="0" w:color="auto"/>
            </w:tcBorders>
            <w:shd w:val="clear" w:color="000000" w:fill="FFFFFF"/>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4</w:t>
            </w:r>
          </w:p>
        </w:tc>
      </w:tr>
      <w:tr w:rsidR="0040647D" w:rsidRPr="0040647D" w:rsidTr="0040647D">
        <w:trPr>
          <w:trHeight w:val="1020"/>
        </w:trPr>
        <w:tc>
          <w:tcPr>
            <w:tcW w:w="714" w:type="dxa"/>
            <w:tcBorders>
              <w:top w:val="nil"/>
              <w:left w:val="single" w:sz="4" w:space="0" w:color="auto"/>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AIIIa4</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Desentralisasi (tugas &amp; wewenang) ke tingkat yang lebih rendah (disertai prinsip transparansi &amp; partisipasi)</w:t>
            </w:r>
          </w:p>
        </w:tc>
        <w:tc>
          <w:tcPr>
            <w:tcW w:w="1417" w:type="dxa"/>
            <w:tcBorders>
              <w:top w:val="nil"/>
              <w:left w:val="nil"/>
              <w:bottom w:val="single" w:sz="4" w:space="0" w:color="auto"/>
              <w:right w:val="single" w:sz="4" w:space="0" w:color="auto"/>
            </w:tcBorders>
            <w:shd w:val="clear" w:color="000000" w:fill="FFFFFF"/>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Perda</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Memang aturannya itu sangat jelas Sesuai Perda no. 1 tahun 2008 tentang kewenangan daerah dan Kab. Poso</w:t>
            </w:r>
          </w:p>
        </w:tc>
        <w:tc>
          <w:tcPr>
            <w:tcW w:w="1524" w:type="dxa"/>
            <w:tcBorders>
              <w:top w:val="nil"/>
              <w:left w:val="nil"/>
              <w:bottom w:val="single" w:sz="4" w:space="0" w:color="auto"/>
              <w:right w:val="single" w:sz="4" w:space="0" w:color="auto"/>
            </w:tcBorders>
            <w:shd w:val="clear" w:color="000000" w:fill="FFFFFF"/>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3</w:t>
            </w:r>
          </w:p>
        </w:tc>
      </w:tr>
      <w:tr w:rsidR="0040647D" w:rsidRPr="0040647D" w:rsidTr="0040647D">
        <w:trPr>
          <w:trHeight w:val="255"/>
        </w:trPr>
        <w:tc>
          <w:tcPr>
            <w:tcW w:w="71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595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52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p>
        </w:tc>
      </w:tr>
      <w:tr w:rsidR="0040647D" w:rsidRPr="0040647D" w:rsidTr="0040647D">
        <w:trPr>
          <w:trHeight w:val="795"/>
        </w:trPr>
        <w:tc>
          <w:tcPr>
            <w:tcW w:w="1990" w:type="dxa"/>
            <w:gridSpan w:val="2"/>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Indikator</w:t>
            </w:r>
          </w:p>
        </w:tc>
        <w:tc>
          <w:tcPr>
            <w:tcW w:w="8895" w:type="dxa"/>
            <w:gridSpan w:val="3"/>
            <w:tcBorders>
              <w:top w:val="nil"/>
              <w:left w:val="nil"/>
              <w:bottom w:val="nil"/>
              <w:right w:val="nil"/>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 xml:space="preserve">: b. Keberadaan dan komprehensiveness aturan yang mengatur harmonisasi hukum dan kebijakan terkait dengan hutan dan lahan gambut </w:t>
            </w:r>
          </w:p>
        </w:tc>
      </w:tr>
      <w:tr w:rsidR="0040647D" w:rsidRPr="0040647D" w:rsidTr="0040647D">
        <w:trPr>
          <w:trHeight w:val="390"/>
        </w:trPr>
        <w:tc>
          <w:tcPr>
            <w:tcW w:w="1990" w:type="dxa"/>
            <w:gridSpan w:val="2"/>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Data</w:t>
            </w:r>
          </w:p>
        </w:tc>
        <w:tc>
          <w:tcPr>
            <w:tcW w:w="8895" w:type="dxa"/>
            <w:gridSpan w:val="3"/>
            <w:tcBorders>
              <w:top w:val="nil"/>
              <w:left w:val="nil"/>
              <w:bottom w:val="single" w:sz="4" w:space="0" w:color="auto"/>
              <w:right w:val="nil"/>
            </w:tcBorders>
            <w:shd w:val="clear" w:color="auto" w:fill="auto"/>
            <w:vAlign w:val="center"/>
            <w:hideMark/>
          </w:tcPr>
          <w:p w:rsidR="0040647D" w:rsidRPr="0040647D" w:rsidRDefault="0040647D" w:rsidP="0040647D">
            <w:pPr>
              <w:spacing w:after="24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:(permenkum-ham) Cek dibiro hukum prov/kab</w:t>
            </w:r>
            <w:r w:rsidRPr="0040647D">
              <w:rPr>
                <w:rFonts w:ascii="Times New Roman" w:eastAsia="Times New Roman" w:hAnsi="Times New Roman" w:cs="Times New Roman"/>
                <w:b/>
                <w:bCs/>
                <w:color w:val="000000"/>
                <w:sz w:val="20"/>
                <w:szCs w:val="20"/>
                <w:lang w:eastAsia="id-ID"/>
              </w:rPr>
              <w:br/>
            </w:r>
          </w:p>
        </w:tc>
      </w:tr>
      <w:tr w:rsidR="0040647D" w:rsidRPr="0040647D" w:rsidTr="0040647D">
        <w:trPr>
          <w:trHeight w:val="255"/>
        </w:trPr>
        <w:tc>
          <w:tcPr>
            <w:tcW w:w="714" w:type="dxa"/>
            <w:tcBorders>
              <w:top w:val="single" w:sz="4" w:space="0" w:color="auto"/>
              <w:left w:val="single" w:sz="4" w:space="0" w:color="auto"/>
              <w:bottom w:val="nil"/>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Kode</w:t>
            </w:r>
          </w:p>
        </w:tc>
        <w:tc>
          <w:tcPr>
            <w:tcW w:w="1276" w:type="dxa"/>
            <w:tcBorders>
              <w:top w:val="single" w:sz="4" w:space="0" w:color="auto"/>
              <w:left w:val="nil"/>
              <w:bottom w:val="nil"/>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Item Data</w:t>
            </w:r>
          </w:p>
        </w:tc>
        <w:tc>
          <w:tcPr>
            <w:tcW w:w="1417" w:type="dxa"/>
            <w:tcBorders>
              <w:top w:val="nil"/>
              <w:left w:val="nil"/>
              <w:bottom w:val="nil"/>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Data</w:t>
            </w:r>
          </w:p>
        </w:tc>
        <w:tc>
          <w:tcPr>
            <w:tcW w:w="5954" w:type="dxa"/>
            <w:tcBorders>
              <w:top w:val="nil"/>
              <w:left w:val="nil"/>
              <w:bottom w:val="nil"/>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Dokumen Hukum dan Kebijakan</w:t>
            </w:r>
          </w:p>
        </w:tc>
        <w:tc>
          <w:tcPr>
            <w:tcW w:w="1524" w:type="dxa"/>
            <w:tcBorders>
              <w:top w:val="nil"/>
              <w:left w:val="nil"/>
              <w:bottom w:val="nil"/>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Kategori Data</w:t>
            </w:r>
          </w:p>
        </w:tc>
      </w:tr>
      <w:tr w:rsidR="0040647D" w:rsidRPr="0040647D" w:rsidTr="0040647D">
        <w:trPr>
          <w:trHeight w:val="102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AIIIb1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xml:space="preserve">Kejelasan lembaga yang bertanggung </w:t>
            </w:r>
            <w:r w:rsidRPr="0040647D">
              <w:rPr>
                <w:rFonts w:ascii="Times New Roman" w:eastAsia="Times New Roman" w:hAnsi="Times New Roman" w:cs="Times New Roman"/>
                <w:color w:val="000000"/>
                <w:sz w:val="20"/>
                <w:szCs w:val="20"/>
                <w:lang w:eastAsia="id-ID"/>
              </w:rPr>
              <w:lastRenderedPageBreak/>
              <w:t>jawab</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lastRenderedPageBreak/>
              <w:t>Perda</w:t>
            </w:r>
          </w:p>
        </w:tc>
        <w:tc>
          <w:tcPr>
            <w:tcW w:w="5954"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Perda no 35 tahun 2008. Tentang organisasi dan tata kerja dinas di kab. Poso semuanya jelas, hanya kehutanan dulu sempat digabung untuk mengoptimalkan kelembagaan yang lebih ramping tetapi kaya fungsi meskipun teryata tidak optimal</w:t>
            </w:r>
          </w:p>
        </w:tc>
        <w:tc>
          <w:tcPr>
            <w:tcW w:w="1524" w:type="dxa"/>
            <w:tcBorders>
              <w:top w:val="single" w:sz="4" w:space="0" w:color="auto"/>
              <w:left w:val="nil"/>
              <w:bottom w:val="single" w:sz="4" w:space="0" w:color="auto"/>
              <w:right w:val="single" w:sz="4" w:space="0" w:color="auto"/>
            </w:tcBorders>
            <w:shd w:val="clear" w:color="000000" w:fill="FFFFFF"/>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3</w:t>
            </w:r>
          </w:p>
        </w:tc>
      </w:tr>
      <w:tr w:rsidR="0040647D" w:rsidRPr="0040647D" w:rsidTr="0040647D">
        <w:trPr>
          <w:trHeight w:val="1530"/>
        </w:trPr>
        <w:tc>
          <w:tcPr>
            <w:tcW w:w="714" w:type="dxa"/>
            <w:tcBorders>
              <w:top w:val="nil"/>
              <w:left w:val="single" w:sz="4" w:space="0" w:color="auto"/>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lastRenderedPageBreak/>
              <w:t>AIIIb2</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Mekanisme harmonisasi aturan sebelum diundangkan</w:t>
            </w:r>
          </w:p>
        </w:tc>
        <w:tc>
          <w:tcPr>
            <w:tcW w:w="1417"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Dalam bentuk dokumen belum ada. Namun, dilembaga pemerintah daerah ada bagian hukum yang akan mengelola legislasi daerah sehingga semua aturan dikaji dulu dengan melibatkan berbagai pihak atau pakar hanya memang terkadang karena terburu oleh waktu kadang sudah terdapt kekurangan tetapi selama ini cukup baik</w:t>
            </w:r>
          </w:p>
        </w:tc>
        <w:tc>
          <w:tcPr>
            <w:tcW w:w="1524" w:type="dxa"/>
            <w:tcBorders>
              <w:top w:val="nil"/>
              <w:left w:val="nil"/>
              <w:bottom w:val="single" w:sz="4" w:space="0" w:color="auto"/>
              <w:right w:val="single" w:sz="4" w:space="0" w:color="auto"/>
            </w:tcBorders>
            <w:shd w:val="clear" w:color="000000" w:fill="FFFFFF"/>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2</w:t>
            </w:r>
          </w:p>
        </w:tc>
      </w:tr>
      <w:tr w:rsidR="0040647D" w:rsidRPr="0040647D" w:rsidTr="0040647D">
        <w:trPr>
          <w:trHeight w:val="255"/>
        </w:trPr>
        <w:tc>
          <w:tcPr>
            <w:tcW w:w="71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595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52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p>
        </w:tc>
      </w:tr>
      <w:tr w:rsidR="0040647D" w:rsidRPr="0040647D" w:rsidTr="0040647D">
        <w:trPr>
          <w:trHeight w:val="765"/>
        </w:trPr>
        <w:tc>
          <w:tcPr>
            <w:tcW w:w="1990" w:type="dxa"/>
            <w:gridSpan w:val="2"/>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Indikator</w:t>
            </w:r>
          </w:p>
        </w:tc>
        <w:tc>
          <w:tcPr>
            <w:tcW w:w="8895" w:type="dxa"/>
            <w:gridSpan w:val="3"/>
            <w:tcBorders>
              <w:top w:val="nil"/>
              <w:left w:val="nil"/>
              <w:bottom w:val="nil"/>
              <w:right w:val="nil"/>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 xml:space="preserve">: c. Keberadaan dan komprehensiveness aturan yang mengatur pertimbangan integritas dan keahlian dalam posisi strategis di institusi yang bertanggungjawab terhadap kehutanan dan lahan gambut </w:t>
            </w:r>
          </w:p>
        </w:tc>
      </w:tr>
      <w:tr w:rsidR="0040647D" w:rsidRPr="0040647D" w:rsidTr="0040647D">
        <w:trPr>
          <w:trHeight w:val="390"/>
        </w:trPr>
        <w:tc>
          <w:tcPr>
            <w:tcW w:w="1990" w:type="dxa"/>
            <w:gridSpan w:val="2"/>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Data</w:t>
            </w:r>
          </w:p>
        </w:tc>
        <w:tc>
          <w:tcPr>
            <w:tcW w:w="8895" w:type="dxa"/>
            <w:gridSpan w:val="3"/>
            <w:tcBorders>
              <w:top w:val="nil"/>
              <w:left w:val="nil"/>
              <w:bottom w:val="single" w:sz="4" w:space="0" w:color="auto"/>
              <w:right w:val="nil"/>
            </w:tcBorders>
            <w:shd w:val="clear" w:color="auto" w:fill="auto"/>
            <w:vAlign w:val="center"/>
            <w:hideMark/>
          </w:tcPr>
          <w:p w:rsidR="0040647D" w:rsidRPr="0040647D" w:rsidRDefault="0040647D" w:rsidP="0040647D">
            <w:pPr>
              <w:spacing w:after="24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 permenpan/SK Gub/Bup/Inpres 5/2004</w:t>
            </w:r>
            <w:r w:rsidRPr="0040647D">
              <w:rPr>
                <w:rFonts w:ascii="Times New Roman" w:eastAsia="Times New Roman" w:hAnsi="Times New Roman" w:cs="Times New Roman"/>
                <w:b/>
                <w:bCs/>
                <w:color w:val="000000"/>
                <w:sz w:val="20"/>
                <w:szCs w:val="20"/>
                <w:lang w:eastAsia="id-ID"/>
              </w:rPr>
              <w:br/>
            </w:r>
          </w:p>
        </w:tc>
      </w:tr>
      <w:tr w:rsidR="0040647D" w:rsidRPr="0040647D" w:rsidTr="0040647D">
        <w:trPr>
          <w:trHeight w:val="255"/>
        </w:trPr>
        <w:tc>
          <w:tcPr>
            <w:tcW w:w="714" w:type="dxa"/>
            <w:tcBorders>
              <w:top w:val="single" w:sz="4" w:space="0" w:color="auto"/>
              <w:left w:val="single" w:sz="4" w:space="0" w:color="auto"/>
              <w:bottom w:val="nil"/>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Kode</w:t>
            </w:r>
          </w:p>
        </w:tc>
        <w:tc>
          <w:tcPr>
            <w:tcW w:w="1276" w:type="dxa"/>
            <w:tcBorders>
              <w:top w:val="single" w:sz="4" w:space="0" w:color="auto"/>
              <w:left w:val="nil"/>
              <w:bottom w:val="nil"/>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Item Data</w:t>
            </w:r>
          </w:p>
        </w:tc>
        <w:tc>
          <w:tcPr>
            <w:tcW w:w="1417" w:type="dxa"/>
            <w:tcBorders>
              <w:top w:val="nil"/>
              <w:left w:val="nil"/>
              <w:bottom w:val="nil"/>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Data</w:t>
            </w:r>
          </w:p>
        </w:tc>
        <w:tc>
          <w:tcPr>
            <w:tcW w:w="5954" w:type="dxa"/>
            <w:tcBorders>
              <w:top w:val="nil"/>
              <w:left w:val="nil"/>
              <w:bottom w:val="nil"/>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Dokumen Hukum dan Kebijakan</w:t>
            </w:r>
          </w:p>
        </w:tc>
        <w:tc>
          <w:tcPr>
            <w:tcW w:w="1524" w:type="dxa"/>
            <w:tcBorders>
              <w:top w:val="nil"/>
              <w:left w:val="nil"/>
              <w:bottom w:val="nil"/>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Kategori Data</w:t>
            </w:r>
          </w:p>
        </w:tc>
      </w:tr>
      <w:tr w:rsidR="0040647D" w:rsidRPr="0040647D" w:rsidTr="0040647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AIIIc1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Keterbukaan proses pengisian posisi strategis</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tidak diperoleh dokumen</w:t>
            </w:r>
          </w:p>
        </w:tc>
        <w:tc>
          <w:tcPr>
            <w:tcW w:w="1524" w:type="dxa"/>
            <w:tcBorders>
              <w:top w:val="single" w:sz="4" w:space="0" w:color="auto"/>
              <w:left w:val="nil"/>
              <w:bottom w:val="single" w:sz="4" w:space="0" w:color="auto"/>
              <w:right w:val="single" w:sz="4" w:space="0" w:color="auto"/>
            </w:tcBorders>
            <w:shd w:val="clear" w:color="000000" w:fill="FFFFFF"/>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765"/>
        </w:trPr>
        <w:tc>
          <w:tcPr>
            <w:tcW w:w="714" w:type="dxa"/>
            <w:tcBorders>
              <w:top w:val="nil"/>
              <w:left w:val="single" w:sz="4" w:space="0" w:color="auto"/>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AIIIc2</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Penilaian pihak ketiga (independen) dalam proses pemilihan SDM</w:t>
            </w:r>
          </w:p>
        </w:tc>
        <w:tc>
          <w:tcPr>
            <w:tcW w:w="1417" w:type="dxa"/>
            <w:tcBorders>
              <w:top w:val="nil"/>
              <w:left w:val="nil"/>
              <w:bottom w:val="single" w:sz="4" w:space="0" w:color="auto"/>
              <w:right w:val="single" w:sz="4" w:space="0" w:color="auto"/>
            </w:tcBorders>
            <w:shd w:val="clear" w:color="000000" w:fill="FFFFFF"/>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tidak ada mekanisme</w:t>
            </w:r>
          </w:p>
        </w:tc>
        <w:tc>
          <w:tcPr>
            <w:tcW w:w="1524" w:type="dxa"/>
            <w:tcBorders>
              <w:top w:val="nil"/>
              <w:left w:val="nil"/>
              <w:bottom w:val="single" w:sz="4" w:space="0" w:color="auto"/>
              <w:right w:val="single" w:sz="4" w:space="0" w:color="auto"/>
            </w:tcBorders>
            <w:shd w:val="clear" w:color="000000" w:fill="FFFFFF"/>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765"/>
        </w:trPr>
        <w:tc>
          <w:tcPr>
            <w:tcW w:w="714" w:type="dxa"/>
            <w:tcBorders>
              <w:top w:val="nil"/>
              <w:left w:val="single" w:sz="4" w:space="0" w:color="auto"/>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AIIIc3</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xml:space="preserve">Life style checking dan kewajaran harta dengan bantuan PPATK </w:t>
            </w:r>
          </w:p>
        </w:tc>
        <w:tc>
          <w:tcPr>
            <w:tcW w:w="1417" w:type="dxa"/>
            <w:tcBorders>
              <w:top w:val="nil"/>
              <w:left w:val="nil"/>
              <w:bottom w:val="single" w:sz="4" w:space="0" w:color="auto"/>
              <w:right w:val="single" w:sz="4" w:space="0" w:color="auto"/>
            </w:tcBorders>
            <w:shd w:val="clear" w:color="000000" w:fill="FFFFFF"/>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tidak mekanisme</w:t>
            </w:r>
          </w:p>
        </w:tc>
        <w:tc>
          <w:tcPr>
            <w:tcW w:w="1524" w:type="dxa"/>
            <w:tcBorders>
              <w:top w:val="nil"/>
              <w:left w:val="nil"/>
              <w:bottom w:val="single" w:sz="4" w:space="0" w:color="auto"/>
              <w:right w:val="single" w:sz="4" w:space="0" w:color="auto"/>
            </w:tcBorders>
            <w:shd w:val="clear" w:color="000000" w:fill="FFFFFF"/>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510"/>
        </w:trPr>
        <w:tc>
          <w:tcPr>
            <w:tcW w:w="714" w:type="dxa"/>
            <w:tcBorders>
              <w:top w:val="nil"/>
              <w:left w:val="single" w:sz="4" w:space="0" w:color="auto"/>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AIIIc4</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Kewajiban verifikasi LHKPN dengan bantuan KPK</w:t>
            </w:r>
          </w:p>
        </w:tc>
        <w:tc>
          <w:tcPr>
            <w:tcW w:w="1417" w:type="dxa"/>
            <w:tcBorders>
              <w:top w:val="nil"/>
              <w:left w:val="nil"/>
              <w:bottom w:val="single" w:sz="4" w:space="0" w:color="auto"/>
              <w:right w:val="single" w:sz="4" w:space="0" w:color="auto"/>
            </w:tcBorders>
            <w:shd w:val="clear" w:color="000000" w:fill="FFFFFF"/>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tidak diperoleh dokumen dalam bentuk aturan. Namun setiap tahun dilaporkan</w:t>
            </w:r>
          </w:p>
        </w:tc>
        <w:tc>
          <w:tcPr>
            <w:tcW w:w="1524" w:type="dxa"/>
            <w:tcBorders>
              <w:top w:val="nil"/>
              <w:left w:val="nil"/>
              <w:bottom w:val="single" w:sz="4" w:space="0" w:color="auto"/>
              <w:right w:val="single" w:sz="4" w:space="0" w:color="auto"/>
            </w:tcBorders>
            <w:shd w:val="clear" w:color="000000" w:fill="FFFFFF"/>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765"/>
        </w:trPr>
        <w:tc>
          <w:tcPr>
            <w:tcW w:w="714" w:type="dxa"/>
            <w:tcBorders>
              <w:top w:val="nil"/>
              <w:left w:val="single" w:sz="4" w:space="0" w:color="auto"/>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AIIIc5</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Batasan Conflict of Interest &amp; mekanisme yang harus dilakukan</w:t>
            </w:r>
          </w:p>
        </w:tc>
        <w:tc>
          <w:tcPr>
            <w:tcW w:w="1417" w:type="dxa"/>
            <w:tcBorders>
              <w:top w:val="nil"/>
              <w:left w:val="nil"/>
              <w:bottom w:val="single" w:sz="4" w:space="0" w:color="auto"/>
              <w:right w:val="single" w:sz="4" w:space="0" w:color="auto"/>
            </w:tcBorders>
            <w:shd w:val="clear" w:color="000000" w:fill="FFFFFF"/>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tidak diperoleh dokumen</w:t>
            </w:r>
          </w:p>
        </w:tc>
        <w:tc>
          <w:tcPr>
            <w:tcW w:w="1524" w:type="dxa"/>
            <w:tcBorders>
              <w:top w:val="nil"/>
              <w:left w:val="nil"/>
              <w:bottom w:val="single" w:sz="4" w:space="0" w:color="auto"/>
              <w:right w:val="single" w:sz="4" w:space="0" w:color="auto"/>
            </w:tcBorders>
            <w:shd w:val="clear" w:color="000000" w:fill="FFFFFF"/>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765"/>
        </w:trPr>
        <w:tc>
          <w:tcPr>
            <w:tcW w:w="714" w:type="dxa"/>
            <w:tcBorders>
              <w:top w:val="nil"/>
              <w:left w:val="single" w:sz="4" w:space="0" w:color="auto"/>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AIIIc6</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Pembuatan pakta integritas, pemenuhan kode etik dan kontrak kinerja</w:t>
            </w:r>
          </w:p>
        </w:tc>
        <w:tc>
          <w:tcPr>
            <w:tcW w:w="1417" w:type="dxa"/>
            <w:tcBorders>
              <w:top w:val="nil"/>
              <w:left w:val="nil"/>
              <w:bottom w:val="single" w:sz="4" w:space="0" w:color="auto"/>
              <w:right w:val="single" w:sz="4" w:space="0" w:color="auto"/>
            </w:tcBorders>
            <w:shd w:val="clear" w:color="000000" w:fill="FFFFFF"/>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tidak diperoleh dokumen</w:t>
            </w:r>
          </w:p>
        </w:tc>
        <w:tc>
          <w:tcPr>
            <w:tcW w:w="1524" w:type="dxa"/>
            <w:tcBorders>
              <w:top w:val="nil"/>
              <w:left w:val="nil"/>
              <w:bottom w:val="single" w:sz="4" w:space="0" w:color="auto"/>
              <w:right w:val="single" w:sz="4" w:space="0" w:color="auto"/>
            </w:tcBorders>
            <w:shd w:val="clear" w:color="000000" w:fill="FFFFFF"/>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255"/>
        </w:trPr>
        <w:tc>
          <w:tcPr>
            <w:tcW w:w="71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595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52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p>
        </w:tc>
      </w:tr>
      <w:tr w:rsidR="0040647D" w:rsidRPr="0040647D" w:rsidTr="0040647D">
        <w:trPr>
          <w:trHeight w:val="900"/>
        </w:trPr>
        <w:tc>
          <w:tcPr>
            <w:tcW w:w="1990" w:type="dxa"/>
            <w:gridSpan w:val="2"/>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Indikator</w:t>
            </w:r>
          </w:p>
        </w:tc>
        <w:tc>
          <w:tcPr>
            <w:tcW w:w="8895" w:type="dxa"/>
            <w:gridSpan w:val="3"/>
            <w:tcBorders>
              <w:top w:val="nil"/>
              <w:left w:val="nil"/>
              <w:bottom w:val="nil"/>
              <w:right w:val="nil"/>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 d. Keberadaan dan komprehensiveness aturan yang mengatur pelaksanaan penegakan hukum dalam pengelolaan hutan dan lahan gambut di tingkat Nasional/Propinsi/Kab secara efektif dan efisien serta tidak rentan korupsi</w:t>
            </w:r>
          </w:p>
        </w:tc>
      </w:tr>
      <w:tr w:rsidR="0040647D" w:rsidRPr="0040647D" w:rsidTr="0040647D">
        <w:trPr>
          <w:trHeight w:val="375"/>
        </w:trPr>
        <w:tc>
          <w:tcPr>
            <w:tcW w:w="1990" w:type="dxa"/>
            <w:gridSpan w:val="2"/>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lastRenderedPageBreak/>
              <w:t>Sumber Data</w:t>
            </w:r>
          </w:p>
        </w:tc>
        <w:tc>
          <w:tcPr>
            <w:tcW w:w="8895" w:type="dxa"/>
            <w:gridSpan w:val="3"/>
            <w:tcBorders>
              <w:top w:val="nil"/>
              <w:left w:val="nil"/>
              <w:bottom w:val="single" w:sz="4" w:space="0" w:color="auto"/>
              <w:right w:val="nil"/>
            </w:tcBorders>
            <w:shd w:val="clear" w:color="auto" w:fill="auto"/>
            <w:vAlign w:val="center"/>
            <w:hideMark/>
          </w:tcPr>
          <w:p w:rsidR="0040647D" w:rsidRPr="0040647D" w:rsidRDefault="0040647D" w:rsidP="0040647D">
            <w:pPr>
              <w:spacing w:after="24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 terkait dengan aturan lain, SK kemenhut/ kejaksaan/Kehakiman/KPK/PPATK, Kemenkeu</w:t>
            </w:r>
            <w:r w:rsidRPr="0040647D">
              <w:rPr>
                <w:rFonts w:ascii="Times New Roman" w:eastAsia="Times New Roman" w:hAnsi="Times New Roman" w:cs="Times New Roman"/>
                <w:b/>
                <w:bCs/>
                <w:color w:val="000000"/>
                <w:sz w:val="20"/>
                <w:szCs w:val="20"/>
                <w:lang w:eastAsia="id-ID"/>
              </w:rPr>
              <w:br/>
            </w:r>
          </w:p>
        </w:tc>
      </w:tr>
      <w:tr w:rsidR="0040647D" w:rsidRPr="0040647D" w:rsidTr="0040647D">
        <w:trPr>
          <w:trHeight w:val="25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Kode</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Item Data</w:t>
            </w:r>
          </w:p>
        </w:tc>
        <w:tc>
          <w:tcPr>
            <w:tcW w:w="1417"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Data</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Dokumen Hukum dan Kebijakan</w:t>
            </w:r>
          </w:p>
        </w:tc>
        <w:tc>
          <w:tcPr>
            <w:tcW w:w="152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Kategori Data</w:t>
            </w:r>
          </w:p>
        </w:tc>
      </w:tr>
      <w:tr w:rsidR="0040647D" w:rsidRPr="0040647D" w:rsidTr="0040647D">
        <w:trPr>
          <w:trHeight w:val="76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AIIId1</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Pembenahan case manage-ment sehingga menutup celah-celah abuse of power</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tidak ada kebijakan</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76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AIIId2</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Sistem pengawasan dan pen-disiplinan internal di lembaga penegak hukum</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Tidak ada aturan yang menga-tur sistem pengawasan dan pen-disiplinan internal di lembaga penegak hukum;Hal-hal seperti ini, sudah dianggap termasuk kegiatan rutin sebagai PNS</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280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AIIId3</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Peningkatan kapasitas aparat penegak hukum terkait isu-isu pengelolaan hutan dan lahan gambut secara lestari, kebijak-an Negara atas masyarakat adat, serta pemanfaatan instru-ment hukum lain seperti pajak, korupsi, dan anti pencucian uang untuk memberantas kejahatan kehutanan (multi-door approach);</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xml:space="preserve">Belum ada yang mengatur, kenyataannya pengaturan tersebut belum berkesinambungan misalkan kegiatan yang dahulunya diikuti tentang pengelolaan hutan untuk kegiatan selanjutnya yag lain lagi sehingga tidak pernah sempurna </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AIIId4</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xml:space="preserve">Kewajiban koordinasi yang efektif antara aparat penegak hukum terkait dalam isu hutan dan lahan gambut dan </w:t>
            </w:r>
            <w:r w:rsidRPr="0040647D">
              <w:rPr>
                <w:rFonts w:ascii="Times New Roman" w:eastAsia="Times New Roman" w:hAnsi="Times New Roman" w:cs="Times New Roman"/>
                <w:color w:val="000000"/>
                <w:sz w:val="20"/>
                <w:szCs w:val="20"/>
                <w:lang w:eastAsia="id-ID"/>
              </w:rPr>
              <w:lastRenderedPageBreak/>
              <w:t>penun-jukan leading sector yang jelas</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lastRenderedPageBreak/>
              <w:t> </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xml:space="preserve">Dalam bentuk aturan daerah belum ada. Akan tetapi dinas Kehutanan-kepolisian dan tentara menjalankan sesuai porsinya keputusan Kepmendagri yang melibatkan institusi Polri dan Militer dalam pengendalian Hutan </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76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lastRenderedPageBreak/>
              <w:t>AIIId5</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Pemenuhan rasio jumlah penegak hukum di bidang kehutanan dan lahan gambut</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tidak diperoleh dokumen</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76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AIIId6</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Mekanisme insentif dan disinsentif untuk mencapai penaatan</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Belum ada</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255"/>
        </w:trPr>
        <w:tc>
          <w:tcPr>
            <w:tcW w:w="71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595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52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p>
        </w:tc>
      </w:tr>
      <w:tr w:rsidR="0040647D" w:rsidRPr="0040647D" w:rsidTr="0040647D">
        <w:trPr>
          <w:trHeight w:val="330"/>
        </w:trPr>
        <w:tc>
          <w:tcPr>
            <w:tcW w:w="1990" w:type="dxa"/>
            <w:gridSpan w:val="2"/>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Isu dalam PGA REDD+</w:t>
            </w:r>
          </w:p>
        </w:tc>
        <w:tc>
          <w:tcPr>
            <w:tcW w:w="7371" w:type="dxa"/>
            <w:gridSpan w:val="2"/>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  IV. Pengelolaan Hutan</w:t>
            </w:r>
          </w:p>
        </w:tc>
        <w:tc>
          <w:tcPr>
            <w:tcW w:w="152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p>
        </w:tc>
      </w:tr>
      <w:tr w:rsidR="0040647D" w:rsidRPr="0040647D" w:rsidTr="0040647D">
        <w:trPr>
          <w:trHeight w:val="780"/>
        </w:trPr>
        <w:tc>
          <w:tcPr>
            <w:tcW w:w="1990" w:type="dxa"/>
            <w:gridSpan w:val="2"/>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Indikator</w:t>
            </w:r>
          </w:p>
        </w:tc>
        <w:tc>
          <w:tcPr>
            <w:tcW w:w="8895" w:type="dxa"/>
            <w:gridSpan w:val="3"/>
            <w:tcBorders>
              <w:top w:val="nil"/>
              <w:left w:val="nil"/>
              <w:bottom w:val="nil"/>
              <w:right w:val="nil"/>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 xml:space="preserve">: a. Keberadaan dan komprehensiveness aturan yang mengatur kewajiban penyusunan rencana pengelolaan hutan secara berkeadilan dan obyektif </w:t>
            </w:r>
          </w:p>
        </w:tc>
      </w:tr>
      <w:tr w:rsidR="0040647D" w:rsidRPr="0040647D" w:rsidTr="0040647D">
        <w:trPr>
          <w:trHeight w:val="25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Kode</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Item Data</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Data</w:t>
            </w:r>
          </w:p>
        </w:tc>
        <w:tc>
          <w:tcPr>
            <w:tcW w:w="5954"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Dokumen Hukum dan Kebijakan</w:t>
            </w:r>
          </w:p>
        </w:tc>
        <w:tc>
          <w:tcPr>
            <w:tcW w:w="1524"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Kategori Data</w:t>
            </w:r>
          </w:p>
        </w:tc>
      </w:tr>
      <w:tr w:rsidR="0040647D" w:rsidRPr="0040647D" w:rsidTr="0040647D">
        <w:trPr>
          <w:trHeight w:val="25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AIVa1</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sz w:val="20"/>
                <w:szCs w:val="20"/>
                <w:lang w:eastAsia="id-ID"/>
              </w:rPr>
            </w:pPr>
            <w:r w:rsidRPr="0040647D">
              <w:rPr>
                <w:rFonts w:ascii="Times New Roman" w:eastAsia="Times New Roman" w:hAnsi="Times New Roman" w:cs="Times New Roman"/>
                <w:sz w:val="20"/>
                <w:szCs w:val="20"/>
                <w:lang w:eastAsia="id-ID"/>
              </w:rPr>
              <w:t>Tidak ada item data</w:t>
            </w:r>
          </w:p>
        </w:tc>
        <w:tc>
          <w:tcPr>
            <w:tcW w:w="1417" w:type="dxa"/>
            <w:tcBorders>
              <w:top w:val="nil"/>
              <w:left w:val="nil"/>
              <w:bottom w:val="single" w:sz="4" w:space="0" w:color="auto"/>
              <w:right w:val="single" w:sz="4" w:space="0" w:color="auto"/>
            </w:tcBorders>
            <w:shd w:val="clear" w:color="000000" w:fill="000000"/>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000000" w:fill="000000"/>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1524" w:type="dxa"/>
            <w:tcBorders>
              <w:top w:val="nil"/>
              <w:left w:val="nil"/>
              <w:bottom w:val="single" w:sz="4" w:space="0" w:color="auto"/>
              <w:right w:val="single" w:sz="4" w:space="0" w:color="auto"/>
            </w:tcBorders>
            <w:shd w:val="clear" w:color="000000" w:fill="000000"/>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r>
      <w:tr w:rsidR="0040647D" w:rsidRPr="0040647D" w:rsidTr="0040647D">
        <w:trPr>
          <w:trHeight w:val="25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AIVa2</w:t>
            </w:r>
          </w:p>
        </w:tc>
        <w:tc>
          <w:tcPr>
            <w:tcW w:w="1276" w:type="dxa"/>
            <w:vMerge/>
            <w:tcBorders>
              <w:top w:val="nil"/>
              <w:left w:val="single" w:sz="4" w:space="0" w:color="auto"/>
              <w:bottom w:val="single" w:sz="4" w:space="0" w:color="000000"/>
              <w:right w:val="single" w:sz="4" w:space="0" w:color="auto"/>
            </w:tcBorders>
            <w:vAlign w:val="center"/>
            <w:hideMark/>
          </w:tcPr>
          <w:p w:rsidR="0040647D" w:rsidRPr="0040647D" w:rsidRDefault="0040647D" w:rsidP="0040647D">
            <w:pPr>
              <w:spacing w:after="0" w:line="240" w:lineRule="auto"/>
              <w:rPr>
                <w:rFonts w:ascii="Times New Roman" w:eastAsia="Times New Roman" w:hAnsi="Times New Roman" w:cs="Times New Roman"/>
                <w:sz w:val="20"/>
                <w:szCs w:val="20"/>
                <w:lang w:eastAsia="id-ID"/>
              </w:rPr>
            </w:pPr>
          </w:p>
        </w:tc>
        <w:tc>
          <w:tcPr>
            <w:tcW w:w="1417" w:type="dxa"/>
            <w:tcBorders>
              <w:top w:val="nil"/>
              <w:left w:val="nil"/>
              <w:bottom w:val="single" w:sz="4" w:space="0" w:color="auto"/>
              <w:right w:val="single" w:sz="4" w:space="0" w:color="auto"/>
            </w:tcBorders>
            <w:shd w:val="clear" w:color="000000" w:fill="000000"/>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000000" w:fill="000000"/>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1524" w:type="dxa"/>
            <w:tcBorders>
              <w:top w:val="nil"/>
              <w:left w:val="nil"/>
              <w:bottom w:val="single" w:sz="4" w:space="0" w:color="auto"/>
              <w:right w:val="single" w:sz="4" w:space="0" w:color="auto"/>
            </w:tcBorders>
            <w:shd w:val="clear" w:color="000000" w:fill="000000"/>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r>
      <w:tr w:rsidR="0040647D" w:rsidRPr="0040647D" w:rsidTr="0040647D">
        <w:trPr>
          <w:trHeight w:val="750"/>
        </w:trPr>
        <w:tc>
          <w:tcPr>
            <w:tcW w:w="1990" w:type="dxa"/>
            <w:gridSpan w:val="2"/>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Indikator</w:t>
            </w:r>
          </w:p>
        </w:tc>
        <w:tc>
          <w:tcPr>
            <w:tcW w:w="8895" w:type="dxa"/>
            <w:gridSpan w:val="3"/>
            <w:tcBorders>
              <w:top w:val="nil"/>
              <w:left w:val="nil"/>
              <w:bottom w:val="nil"/>
              <w:right w:val="nil"/>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 b. Keberadaan dan komprehensiveness aturan yang mengatur transparansi pengelolaan hutan dan lahan gambut</w:t>
            </w:r>
          </w:p>
        </w:tc>
      </w:tr>
      <w:tr w:rsidR="0040647D" w:rsidRPr="0040647D" w:rsidTr="0040647D">
        <w:trPr>
          <w:trHeight w:val="390"/>
        </w:trPr>
        <w:tc>
          <w:tcPr>
            <w:tcW w:w="1990" w:type="dxa"/>
            <w:gridSpan w:val="2"/>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Data</w:t>
            </w:r>
          </w:p>
        </w:tc>
        <w:tc>
          <w:tcPr>
            <w:tcW w:w="8895" w:type="dxa"/>
            <w:gridSpan w:val="3"/>
            <w:tcBorders>
              <w:top w:val="nil"/>
              <w:left w:val="nil"/>
              <w:bottom w:val="single" w:sz="4" w:space="0" w:color="auto"/>
              <w:right w:val="nil"/>
            </w:tcBorders>
            <w:shd w:val="clear" w:color="auto" w:fill="auto"/>
            <w:vAlign w:val="center"/>
            <w:hideMark/>
          </w:tcPr>
          <w:p w:rsidR="0040647D" w:rsidRPr="0040647D" w:rsidRDefault="0040647D" w:rsidP="0040647D">
            <w:pPr>
              <w:spacing w:after="24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 SK Menhut/pertanian/ SK/perda-Gub/Bup</w:t>
            </w:r>
          </w:p>
        </w:tc>
      </w:tr>
      <w:tr w:rsidR="0040647D" w:rsidRPr="0040647D" w:rsidTr="0040647D">
        <w:trPr>
          <w:trHeight w:val="25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Kode</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Item Data</w:t>
            </w:r>
          </w:p>
        </w:tc>
        <w:tc>
          <w:tcPr>
            <w:tcW w:w="1417"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Data</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Dokumen Hukum dan Kebijakan</w:t>
            </w:r>
          </w:p>
        </w:tc>
        <w:tc>
          <w:tcPr>
            <w:tcW w:w="152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Kategori Data</w:t>
            </w:r>
          </w:p>
        </w:tc>
      </w:tr>
      <w:tr w:rsidR="0040647D" w:rsidRPr="0040647D" w:rsidTr="0040647D">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AIVb1</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Kewajiban menyediakan seluruh informasi dalam kaitannya dengan pengelolaan hutan secara sistematis sehingga mudah diakses</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Tidak ada mekanismenya</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76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AIVb2</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Mewajibkan agar Badan Publik memiliki petugas khusus yang menangani permintaan informasi</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Belum ada kelembagaan yang mengatur  tersebut mungkin setelah kesatuan pengelolaan hutan produksi model sintuwu maroso diaktifkan hal tersebut baru akan ada.</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lastRenderedPageBreak/>
              <w:t>AIVb3</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Kewajiban pemberian akses bagi publik baik secara proaktif maupun berdasarkan permintaan</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Tidak ada saat ini</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AIVb4</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Terdapat pengumuman informasi tentang rencana kegiatan/proyek yang disertai dengan dokumen pendukungnya</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Semua proyek itu pasti ada papan proyeknya hanya dokumennya itu bersifat tertutup dan terbatas sekali orang yang dapat membacanya.</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2</w:t>
            </w:r>
          </w:p>
        </w:tc>
      </w:tr>
      <w:tr w:rsidR="0040647D" w:rsidRPr="0040647D" w:rsidTr="0040647D">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AIVb5</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Tidak ada aturan</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76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AIVb6</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Sanksi bagi pihak-pihak yang sengaja menghambat akses publik atas informasi</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Tidak ada mekanisme</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255"/>
        </w:trPr>
        <w:tc>
          <w:tcPr>
            <w:tcW w:w="71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595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52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p>
        </w:tc>
      </w:tr>
      <w:tr w:rsidR="0040647D" w:rsidRPr="0040647D" w:rsidTr="0040647D">
        <w:trPr>
          <w:trHeight w:val="825"/>
        </w:trPr>
        <w:tc>
          <w:tcPr>
            <w:tcW w:w="1990" w:type="dxa"/>
            <w:gridSpan w:val="2"/>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Indikator</w:t>
            </w:r>
          </w:p>
        </w:tc>
        <w:tc>
          <w:tcPr>
            <w:tcW w:w="8895" w:type="dxa"/>
            <w:gridSpan w:val="3"/>
            <w:tcBorders>
              <w:top w:val="nil"/>
              <w:left w:val="nil"/>
              <w:bottom w:val="nil"/>
              <w:right w:val="nil"/>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 xml:space="preserve">: c. Keberadaan dan komprehensiveness aturan yang mengatur keterlibatan pemangku kepentingan dalam pengelolaan hutan dan lahan gambut yang  berarti </w:t>
            </w:r>
          </w:p>
        </w:tc>
      </w:tr>
      <w:tr w:rsidR="0040647D" w:rsidRPr="0040647D" w:rsidTr="0040647D">
        <w:trPr>
          <w:trHeight w:val="390"/>
        </w:trPr>
        <w:tc>
          <w:tcPr>
            <w:tcW w:w="1990" w:type="dxa"/>
            <w:gridSpan w:val="2"/>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Data</w:t>
            </w:r>
          </w:p>
        </w:tc>
        <w:tc>
          <w:tcPr>
            <w:tcW w:w="8895" w:type="dxa"/>
            <w:gridSpan w:val="3"/>
            <w:tcBorders>
              <w:top w:val="nil"/>
              <w:left w:val="nil"/>
              <w:bottom w:val="single" w:sz="4" w:space="0" w:color="auto"/>
              <w:right w:val="nil"/>
            </w:tcBorders>
            <w:shd w:val="clear" w:color="auto" w:fill="auto"/>
            <w:vAlign w:val="center"/>
            <w:hideMark/>
          </w:tcPr>
          <w:p w:rsidR="0040647D" w:rsidRPr="0040647D" w:rsidRDefault="0040647D" w:rsidP="0040647D">
            <w:pPr>
              <w:spacing w:after="24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 SK Menhut/Pertanian, SK/Perda-Gub/Bup</w:t>
            </w:r>
          </w:p>
        </w:tc>
      </w:tr>
      <w:tr w:rsidR="0040647D" w:rsidRPr="0040647D" w:rsidTr="0040647D">
        <w:trPr>
          <w:trHeight w:val="25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Kode</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Item Data</w:t>
            </w:r>
          </w:p>
        </w:tc>
        <w:tc>
          <w:tcPr>
            <w:tcW w:w="1417"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Data</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Dokumen Hukum dan Kebijakan</w:t>
            </w:r>
          </w:p>
        </w:tc>
        <w:tc>
          <w:tcPr>
            <w:tcW w:w="152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Kategori Data</w:t>
            </w:r>
          </w:p>
        </w:tc>
      </w:tr>
      <w:tr w:rsidR="0040647D" w:rsidRPr="0040647D" w:rsidTr="0040647D">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AIVc1</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Informasi rencana pemberian izin/pelaksanaan lelang kepada seluruh pihak yg memiliki hak serta pihak yg berkepentingan</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tidak diperoleh dokumen</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lastRenderedPageBreak/>
              <w:t>AIVc2</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Mekanisme yang memudahkan bagi seluruh pihak yang berkepentingan untuk dapat terlibat dalam proses pengambilan keputusan</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xml:space="preserve">tidak diperoleh dokumen aturan </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AIVc3</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Penunjukan satu petugas khusus yang bertanggungjawab mengelola masukan publik dalam proses pemberian izin/pelaksanaan lelang</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xml:space="preserve">Belum  ada mekanismenya </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51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AIVc4</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Dokumentasi setiap masukan baik yang tertulis ataupun tidak</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xml:space="preserve">Tidak ada Mekanisme </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76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AIVc5</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Pemberian respon yang bersifat terbuka atas setiap masukan yang ada</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Tidak ada aturan yang mendasari hanya sesuai kemampuan petugas masing-masing saja</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51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AIVc6</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Pemberian penjelasan atas keputusan akhir yang diambil</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Tidak ada mekanisme penjelasan kecuali ada yang mempertanyakan</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255"/>
        </w:trPr>
        <w:tc>
          <w:tcPr>
            <w:tcW w:w="71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595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52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p>
        </w:tc>
      </w:tr>
      <w:tr w:rsidR="0040647D" w:rsidRPr="0040647D" w:rsidTr="0040647D">
        <w:trPr>
          <w:trHeight w:val="705"/>
        </w:trPr>
        <w:tc>
          <w:tcPr>
            <w:tcW w:w="1990" w:type="dxa"/>
            <w:gridSpan w:val="2"/>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Indikator</w:t>
            </w:r>
          </w:p>
        </w:tc>
        <w:tc>
          <w:tcPr>
            <w:tcW w:w="8895" w:type="dxa"/>
            <w:gridSpan w:val="3"/>
            <w:tcBorders>
              <w:top w:val="nil"/>
              <w:left w:val="nil"/>
              <w:bottom w:val="nil"/>
              <w:right w:val="nil"/>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 d. Keberadaan dan komprehensiveness aturan yang mengatur mekanisme pemberian izin pengelolaan hutan yang efisien</w:t>
            </w:r>
          </w:p>
        </w:tc>
      </w:tr>
      <w:tr w:rsidR="0040647D" w:rsidRPr="0040647D" w:rsidTr="0040647D">
        <w:trPr>
          <w:trHeight w:val="25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Kode</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Item Data</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Data</w:t>
            </w:r>
          </w:p>
        </w:tc>
        <w:tc>
          <w:tcPr>
            <w:tcW w:w="5954"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Dokumen Hukum dan Kebijakan</w:t>
            </w:r>
          </w:p>
        </w:tc>
        <w:tc>
          <w:tcPr>
            <w:tcW w:w="1524"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Kategori Data</w:t>
            </w:r>
          </w:p>
        </w:tc>
      </w:tr>
      <w:tr w:rsidR="0040647D" w:rsidRPr="0040647D" w:rsidTr="0040647D">
        <w:trPr>
          <w:trHeight w:val="25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AIVd1</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sz w:val="20"/>
                <w:szCs w:val="20"/>
                <w:lang w:eastAsia="id-ID"/>
              </w:rPr>
            </w:pPr>
            <w:r w:rsidRPr="0040647D">
              <w:rPr>
                <w:rFonts w:ascii="Times New Roman" w:eastAsia="Times New Roman" w:hAnsi="Times New Roman" w:cs="Times New Roman"/>
                <w:sz w:val="20"/>
                <w:szCs w:val="20"/>
                <w:lang w:eastAsia="id-ID"/>
              </w:rPr>
              <w:t>Tidak ada item data</w:t>
            </w:r>
          </w:p>
        </w:tc>
        <w:tc>
          <w:tcPr>
            <w:tcW w:w="1417" w:type="dxa"/>
            <w:tcBorders>
              <w:top w:val="nil"/>
              <w:left w:val="nil"/>
              <w:bottom w:val="single" w:sz="4" w:space="0" w:color="auto"/>
              <w:right w:val="single" w:sz="4" w:space="0" w:color="auto"/>
            </w:tcBorders>
            <w:shd w:val="clear" w:color="000000" w:fill="000000"/>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000000" w:fill="000000"/>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1524" w:type="dxa"/>
            <w:tcBorders>
              <w:top w:val="nil"/>
              <w:left w:val="nil"/>
              <w:bottom w:val="single" w:sz="4" w:space="0" w:color="auto"/>
              <w:right w:val="single" w:sz="4" w:space="0" w:color="auto"/>
            </w:tcBorders>
            <w:shd w:val="clear" w:color="000000" w:fill="000000"/>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r>
      <w:tr w:rsidR="0040647D" w:rsidRPr="0040647D" w:rsidTr="0040647D">
        <w:trPr>
          <w:trHeight w:val="36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AIVd2</w:t>
            </w:r>
          </w:p>
        </w:tc>
        <w:tc>
          <w:tcPr>
            <w:tcW w:w="1276" w:type="dxa"/>
            <w:vMerge/>
            <w:tcBorders>
              <w:top w:val="nil"/>
              <w:left w:val="single" w:sz="4" w:space="0" w:color="auto"/>
              <w:bottom w:val="single" w:sz="4" w:space="0" w:color="000000"/>
              <w:right w:val="single" w:sz="4" w:space="0" w:color="auto"/>
            </w:tcBorders>
            <w:vAlign w:val="center"/>
            <w:hideMark/>
          </w:tcPr>
          <w:p w:rsidR="0040647D" w:rsidRPr="0040647D" w:rsidRDefault="0040647D" w:rsidP="0040647D">
            <w:pPr>
              <w:spacing w:after="0" w:line="240" w:lineRule="auto"/>
              <w:rPr>
                <w:rFonts w:ascii="Times New Roman" w:eastAsia="Times New Roman" w:hAnsi="Times New Roman" w:cs="Times New Roman"/>
                <w:sz w:val="20"/>
                <w:szCs w:val="20"/>
                <w:lang w:eastAsia="id-ID"/>
              </w:rPr>
            </w:pPr>
          </w:p>
        </w:tc>
        <w:tc>
          <w:tcPr>
            <w:tcW w:w="1417" w:type="dxa"/>
            <w:tcBorders>
              <w:top w:val="nil"/>
              <w:left w:val="nil"/>
              <w:bottom w:val="single" w:sz="4" w:space="0" w:color="auto"/>
              <w:right w:val="single" w:sz="4" w:space="0" w:color="auto"/>
            </w:tcBorders>
            <w:shd w:val="clear" w:color="000000" w:fill="000000"/>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000000" w:fill="000000"/>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1524" w:type="dxa"/>
            <w:tcBorders>
              <w:top w:val="nil"/>
              <w:left w:val="nil"/>
              <w:bottom w:val="single" w:sz="4" w:space="0" w:color="auto"/>
              <w:right w:val="single" w:sz="4" w:space="0" w:color="auto"/>
            </w:tcBorders>
            <w:shd w:val="clear" w:color="000000" w:fill="000000"/>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r>
      <w:tr w:rsidR="0040647D" w:rsidRPr="0040647D" w:rsidTr="0040647D">
        <w:trPr>
          <w:trHeight w:val="255"/>
        </w:trPr>
        <w:tc>
          <w:tcPr>
            <w:tcW w:w="71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595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52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p>
        </w:tc>
      </w:tr>
      <w:tr w:rsidR="0040647D" w:rsidRPr="0040647D" w:rsidTr="0040647D">
        <w:trPr>
          <w:trHeight w:val="600"/>
        </w:trPr>
        <w:tc>
          <w:tcPr>
            <w:tcW w:w="1990" w:type="dxa"/>
            <w:gridSpan w:val="2"/>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Indikator</w:t>
            </w:r>
          </w:p>
        </w:tc>
        <w:tc>
          <w:tcPr>
            <w:tcW w:w="8895" w:type="dxa"/>
            <w:gridSpan w:val="3"/>
            <w:tcBorders>
              <w:top w:val="nil"/>
              <w:left w:val="nil"/>
              <w:bottom w:val="nil"/>
              <w:right w:val="nil"/>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 e. Keberadaan dan komprehensiveness aturan yang mengatur mekanisme penanganan pengaduan dalam konflik pengelolaan hutan dan lahan gambu</w:t>
            </w:r>
          </w:p>
        </w:tc>
      </w:tr>
      <w:tr w:rsidR="0040647D" w:rsidRPr="0040647D" w:rsidTr="0040647D">
        <w:trPr>
          <w:trHeight w:val="25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Kode</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Item Data</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Data</w:t>
            </w:r>
          </w:p>
        </w:tc>
        <w:tc>
          <w:tcPr>
            <w:tcW w:w="5954"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Dokumen Hukum dan Kebijakan</w:t>
            </w:r>
          </w:p>
        </w:tc>
        <w:tc>
          <w:tcPr>
            <w:tcW w:w="1524"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Kategori Data</w:t>
            </w:r>
          </w:p>
        </w:tc>
      </w:tr>
      <w:tr w:rsidR="0040647D" w:rsidRPr="0040647D" w:rsidTr="0040647D">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AIVe1</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xml:space="preserve">Mekanisme pengaduan (sederhana, kejelasan </w:t>
            </w:r>
            <w:r w:rsidRPr="0040647D">
              <w:rPr>
                <w:rFonts w:ascii="Times New Roman" w:eastAsia="Times New Roman" w:hAnsi="Times New Roman" w:cs="Times New Roman"/>
                <w:color w:val="000000"/>
                <w:sz w:val="20"/>
                <w:szCs w:val="20"/>
                <w:lang w:eastAsia="id-ID"/>
              </w:rPr>
              <w:lastRenderedPageBreak/>
              <w:t>tenggat waktu &amp; tindakan yang telah diambil)</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lastRenderedPageBreak/>
              <w:t> </w:t>
            </w:r>
          </w:p>
        </w:tc>
        <w:tc>
          <w:tcPr>
            <w:tcW w:w="595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Tidak ada standar yang diberlakukan</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lastRenderedPageBreak/>
              <w:t>AIVe2</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Mekanisme resolusi konflik dan penyelesaian sengketa</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Mekanismenya setelah ada laporan maka ditangani secara kelembagaan kemudian di cek, difasilitasi untuk dapat diselesaiakan tetapi tidak ada mekanisme standarnya (tidak diperoleh dokumen tertulis)</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76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AIVe3</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Mediator memiliki keahlian dan pemahaman tentang isu-isu adat/masyarakat lokal</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tidak diperoleh dokumen</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AIVe4</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Mekanisme pengawasan eksternal atas kinerja penegak hukum dalam menindaklanjuti pengaduan masyarakat</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Tidak ada mekanisme</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255"/>
        </w:trPr>
        <w:tc>
          <w:tcPr>
            <w:tcW w:w="71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595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52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p>
        </w:tc>
      </w:tr>
      <w:tr w:rsidR="0040647D" w:rsidRPr="0040647D" w:rsidTr="0040647D">
        <w:trPr>
          <w:trHeight w:val="330"/>
        </w:trPr>
        <w:tc>
          <w:tcPr>
            <w:tcW w:w="1990" w:type="dxa"/>
            <w:gridSpan w:val="2"/>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Isu dalam PGA REDD+</w:t>
            </w:r>
          </w:p>
        </w:tc>
        <w:tc>
          <w:tcPr>
            <w:tcW w:w="7371" w:type="dxa"/>
            <w:gridSpan w:val="2"/>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  V. Pengorganisasian Hutan</w:t>
            </w:r>
          </w:p>
        </w:tc>
        <w:tc>
          <w:tcPr>
            <w:tcW w:w="152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p>
        </w:tc>
      </w:tr>
      <w:tr w:rsidR="0040647D" w:rsidRPr="0040647D" w:rsidTr="0040647D">
        <w:trPr>
          <w:trHeight w:val="585"/>
        </w:trPr>
        <w:tc>
          <w:tcPr>
            <w:tcW w:w="1990" w:type="dxa"/>
            <w:gridSpan w:val="2"/>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Indikator</w:t>
            </w:r>
          </w:p>
        </w:tc>
        <w:tc>
          <w:tcPr>
            <w:tcW w:w="8895" w:type="dxa"/>
            <w:gridSpan w:val="3"/>
            <w:tcBorders>
              <w:top w:val="nil"/>
              <w:left w:val="nil"/>
              <w:bottom w:val="nil"/>
              <w:right w:val="nil"/>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 a. Keberadaan dan komprehensiveness aturan yang mengatur transparansi pengendalian dan penegakan hukum dalam pengelolaan hutan</w:t>
            </w:r>
          </w:p>
        </w:tc>
      </w:tr>
      <w:tr w:rsidR="0040647D" w:rsidRPr="0040647D" w:rsidTr="0040647D">
        <w:trPr>
          <w:trHeight w:val="390"/>
        </w:trPr>
        <w:tc>
          <w:tcPr>
            <w:tcW w:w="1990" w:type="dxa"/>
            <w:gridSpan w:val="2"/>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Data</w:t>
            </w:r>
          </w:p>
        </w:tc>
        <w:tc>
          <w:tcPr>
            <w:tcW w:w="8895" w:type="dxa"/>
            <w:gridSpan w:val="3"/>
            <w:tcBorders>
              <w:top w:val="nil"/>
              <w:left w:val="nil"/>
              <w:bottom w:val="single" w:sz="4" w:space="0" w:color="auto"/>
              <w:right w:val="nil"/>
            </w:tcBorders>
            <w:shd w:val="clear" w:color="auto" w:fill="auto"/>
            <w:vAlign w:val="center"/>
            <w:hideMark/>
          </w:tcPr>
          <w:p w:rsidR="0040647D" w:rsidRPr="0040647D" w:rsidRDefault="0040647D" w:rsidP="0040647D">
            <w:pPr>
              <w:spacing w:after="24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 SK Menhut/Gub/Bu</w:t>
            </w:r>
            <w:r w:rsidRPr="0040647D">
              <w:rPr>
                <w:rFonts w:ascii="Times New Roman" w:eastAsia="Times New Roman" w:hAnsi="Times New Roman" w:cs="Times New Roman"/>
                <w:b/>
                <w:bCs/>
                <w:color w:val="000000"/>
                <w:sz w:val="20"/>
                <w:szCs w:val="20"/>
                <w:lang w:eastAsia="id-ID"/>
              </w:rPr>
              <w:br/>
            </w:r>
          </w:p>
        </w:tc>
      </w:tr>
      <w:tr w:rsidR="0040647D" w:rsidRPr="0040647D" w:rsidTr="0040647D">
        <w:trPr>
          <w:trHeight w:val="25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Kode</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Item Data</w:t>
            </w:r>
          </w:p>
        </w:tc>
        <w:tc>
          <w:tcPr>
            <w:tcW w:w="1417"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Data</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Dokumen Hukum dan Kebijakan</w:t>
            </w:r>
          </w:p>
        </w:tc>
        <w:tc>
          <w:tcPr>
            <w:tcW w:w="152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Kategori Data</w:t>
            </w:r>
          </w:p>
        </w:tc>
      </w:tr>
      <w:tr w:rsidR="0040647D" w:rsidRPr="0040647D" w:rsidTr="0040647D">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AVa1</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Ketersediaan seluruh informasi secara sistematis dalam kaitannya dengan pengawasan internal dan eksternal</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tidak diperoleh dokumen. Data itu sesuai bidang sehingga tidak pernah utuh</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153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AVa2</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Terdapat aturan yang mewajibkan pemberian akses bagi publik baik secara proaktif maupun berdasarkan permintaan dalam tahap pengawasan</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Belum ada mekanisme tersebut</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lastRenderedPageBreak/>
              <w:t>AVa3</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xml:space="preserve">Tidak ada yang dapat diakses, kadang yang sifatnya rahasia daat diakses tetapi yang tidak rahasia tidak dapat diakses seperti besaran dana DIPA yang harusnya menjadi informasi umum tetapi dirahasiakan. </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76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AVa4</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Terdapat sanksi bagi pihak-pihak yg sengaja menghambat akses publik atas informasi</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Tidak ada pemberlakukan hal tersebut</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255"/>
        </w:trPr>
        <w:tc>
          <w:tcPr>
            <w:tcW w:w="71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595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52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p>
        </w:tc>
      </w:tr>
      <w:tr w:rsidR="0040647D" w:rsidRPr="0040647D" w:rsidTr="0040647D">
        <w:trPr>
          <w:trHeight w:val="600"/>
        </w:trPr>
        <w:tc>
          <w:tcPr>
            <w:tcW w:w="1990" w:type="dxa"/>
            <w:gridSpan w:val="2"/>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Indikator</w:t>
            </w:r>
          </w:p>
        </w:tc>
        <w:tc>
          <w:tcPr>
            <w:tcW w:w="8895" w:type="dxa"/>
            <w:gridSpan w:val="3"/>
            <w:tcBorders>
              <w:top w:val="nil"/>
              <w:left w:val="nil"/>
              <w:bottom w:val="nil"/>
              <w:right w:val="nil"/>
            </w:tcBorders>
            <w:shd w:val="clear" w:color="auto" w:fill="auto"/>
            <w:vAlign w:val="center"/>
            <w:hideMark/>
          </w:tcPr>
          <w:p w:rsidR="0040647D" w:rsidRPr="0040647D" w:rsidRDefault="0040647D" w:rsidP="0040647D">
            <w:pPr>
              <w:spacing w:after="24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 b. Keberadaan dan komprehensiveness aturan yang mengatur pengawasan yang berintegritas dan partisipatif dalam pengelolaan hutan</w:t>
            </w:r>
          </w:p>
        </w:tc>
      </w:tr>
      <w:tr w:rsidR="0040647D" w:rsidRPr="0040647D" w:rsidTr="0040647D">
        <w:trPr>
          <w:trHeight w:val="390"/>
        </w:trPr>
        <w:tc>
          <w:tcPr>
            <w:tcW w:w="1990" w:type="dxa"/>
            <w:gridSpan w:val="2"/>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Data</w:t>
            </w:r>
          </w:p>
        </w:tc>
        <w:tc>
          <w:tcPr>
            <w:tcW w:w="8895" w:type="dxa"/>
            <w:gridSpan w:val="3"/>
            <w:tcBorders>
              <w:top w:val="nil"/>
              <w:left w:val="nil"/>
              <w:bottom w:val="single" w:sz="4" w:space="0" w:color="auto"/>
              <w:right w:val="nil"/>
            </w:tcBorders>
            <w:shd w:val="clear" w:color="auto" w:fill="auto"/>
            <w:vAlign w:val="center"/>
            <w:hideMark/>
          </w:tcPr>
          <w:p w:rsidR="0040647D" w:rsidRPr="0040647D" w:rsidRDefault="0040647D" w:rsidP="0040647D">
            <w:pPr>
              <w:spacing w:after="24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 Per/SK menhut/Gub/Bup</w:t>
            </w:r>
          </w:p>
        </w:tc>
      </w:tr>
      <w:tr w:rsidR="0040647D" w:rsidRPr="0040647D" w:rsidTr="0040647D">
        <w:trPr>
          <w:trHeight w:val="25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Kode</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Item Data</w:t>
            </w:r>
          </w:p>
        </w:tc>
        <w:tc>
          <w:tcPr>
            <w:tcW w:w="1417"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Data</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Dokumen Hukum dan Kebijakan</w:t>
            </w:r>
          </w:p>
        </w:tc>
        <w:tc>
          <w:tcPr>
            <w:tcW w:w="152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Kategori Data</w:t>
            </w:r>
          </w:p>
        </w:tc>
      </w:tr>
      <w:tr w:rsidR="0040647D" w:rsidRPr="0040647D" w:rsidTr="0040647D">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AVb1</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Informasi pelaksanaan kegiatan untuk memperjelas masukan publik atas suatu kasus</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Jika ada pengaduan maka dibentuk tim untuk melakukan konfirmasi dilapangan  meskipun hal tersebut tidak ada aturannya meainkan hanya konsensus kerja aparat di kehutanan seperti itu.</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AVb2</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Mekanisme penerimaan pengaduan memudahkan bagi seluruh pihak (termasuk competitors) untuk menyampaikan pengaduan</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Aturannya tidak ada, tetapi mekanismenya dilaksananakan atas peran pemerintah yang mempertemukan berbagai yang terkait untuk mempertemukannnya.</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76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AVb3</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Dokumentasi setiap laporan pengaduan baik yang tertulis ataupun tidak</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Tidak ada aturan, setiap pengaduan yang jelas akan diproses oleh yang terkait, meskipun juga terkadang ada pengaduan masyarakat yang tidak direspon</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AVb4</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xml:space="preserve">Mekanisme penerimaan pengaduan memiliki </w:t>
            </w:r>
            <w:r w:rsidRPr="0040647D">
              <w:rPr>
                <w:rFonts w:ascii="Times New Roman" w:eastAsia="Times New Roman" w:hAnsi="Times New Roman" w:cs="Times New Roman"/>
                <w:color w:val="000000"/>
                <w:sz w:val="20"/>
                <w:szCs w:val="20"/>
                <w:lang w:eastAsia="id-ID"/>
              </w:rPr>
              <w:lastRenderedPageBreak/>
              <w:t>jangka waktu yang jelas atas respon yang akan diberikan</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lastRenderedPageBreak/>
              <w:t> </w:t>
            </w:r>
          </w:p>
        </w:tc>
        <w:tc>
          <w:tcPr>
            <w:tcW w:w="595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Jangka waktu penyelesaian masalah tidak pernah ada</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lastRenderedPageBreak/>
              <w:t>AVb5</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xml:space="preserve">Mekanisme penerimaan pengaduan menawarkan kemudahan dan kejelasan pihak yang dikontak </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Tidak ada mekanismenya</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AVb6</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Penunjukan satu petugas khusus yang bertanggungjawab mengelola masukan publik dalam proses pengawasan</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Tidak ada penugasan untuk hal tersebut</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255"/>
        </w:trPr>
        <w:tc>
          <w:tcPr>
            <w:tcW w:w="71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595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52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p>
        </w:tc>
      </w:tr>
      <w:tr w:rsidR="0040647D" w:rsidRPr="0040647D" w:rsidTr="0040647D">
        <w:trPr>
          <w:trHeight w:val="690"/>
        </w:trPr>
        <w:tc>
          <w:tcPr>
            <w:tcW w:w="1990" w:type="dxa"/>
            <w:gridSpan w:val="2"/>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Indikator</w:t>
            </w:r>
          </w:p>
        </w:tc>
        <w:tc>
          <w:tcPr>
            <w:tcW w:w="8895" w:type="dxa"/>
            <w:gridSpan w:val="3"/>
            <w:tcBorders>
              <w:top w:val="nil"/>
              <w:left w:val="nil"/>
              <w:bottom w:val="nil"/>
              <w:right w:val="nil"/>
            </w:tcBorders>
            <w:shd w:val="clear" w:color="auto" w:fill="auto"/>
            <w:vAlign w:val="center"/>
            <w:hideMark/>
          </w:tcPr>
          <w:p w:rsidR="0040647D" w:rsidRPr="0040647D" w:rsidRDefault="0040647D" w:rsidP="0040647D">
            <w:pPr>
              <w:spacing w:after="24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 xml:space="preserve">: c. Keberadaan dan komprehensiveness aturan yang mengatur program peningkatan kapasitas masyarakat dalam pengawasan pengelolaan hutan dan lahan gambut  </w:t>
            </w:r>
            <w:r w:rsidRPr="0040647D">
              <w:rPr>
                <w:rFonts w:ascii="Times New Roman" w:eastAsia="Times New Roman" w:hAnsi="Times New Roman" w:cs="Times New Roman"/>
                <w:b/>
                <w:bCs/>
                <w:color w:val="000000"/>
                <w:sz w:val="20"/>
                <w:szCs w:val="20"/>
                <w:lang w:eastAsia="id-ID"/>
              </w:rPr>
              <w:br/>
            </w:r>
            <w:r w:rsidRPr="0040647D">
              <w:rPr>
                <w:rFonts w:ascii="Times New Roman" w:eastAsia="Times New Roman" w:hAnsi="Times New Roman" w:cs="Times New Roman"/>
                <w:b/>
                <w:bCs/>
                <w:color w:val="000000"/>
                <w:sz w:val="20"/>
                <w:szCs w:val="20"/>
                <w:lang w:eastAsia="id-ID"/>
              </w:rPr>
              <w:br/>
            </w:r>
          </w:p>
        </w:tc>
      </w:tr>
      <w:tr w:rsidR="0040647D" w:rsidRPr="0040647D" w:rsidTr="0040647D">
        <w:trPr>
          <w:trHeight w:val="25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Kode</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Item Data</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Data</w:t>
            </w:r>
          </w:p>
        </w:tc>
        <w:tc>
          <w:tcPr>
            <w:tcW w:w="5954"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Dokumen Hukum dan Kebijakan</w:t>
            </w:r>
          </w:p>
        </w:tc>
        <w:tc>
          <w:tcPr>
            <w:tcW w:w="1524"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Kategori Data</w:t>
            </w:r>
          </w:p>
        </w:tc>
      </w:tr>
      <w:tr w:rsidR="0040647D" w:rsidRPr="0040647D" w:rsidTr="0040647D">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lastRenderedPageBreak/>
              <w:t>AVc1</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Program pemerintah daerah dalam meningkatkan kapasitas masyarakat adat/lokal untuk turut berpartisipasi dalam proses pengawasan</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xml:space="preserve">Tidak ada program Pmerintah, namun pada sebagian masyarakat adat terdapat kearifan lokal yang memang menekankan untuk menjaga keseimbangan lingkungan sehingga masyarakat tidak melakukan eksploitasi sesuka hatinya (tidak ada aturan tertulis). </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AVc2</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Program pemerintahan yang lebih tinggi untuk meningkat-kan kapasitas pemerintahan yang lebih rendah dalam melakukan pengawasan</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Tidak ada aturannya makanya anggarannya tidak ada</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255"/>
        </w:trPr>
        <w:tc>
          <w:tcPr>
            <w:tcW w:w="71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595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52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p>
        </w:tc>
      </w:tr>
      <w:tr w:rsidR="0040647D" w:rsidRPr="0040647D" w:rsidTr="0040647D">
        <w:trPr>
          <w:trHeight w:val="690"/>
        </w:trPr>
        <w:tc>
          <w:tcPr>
            <w:tcW w:w="1990" w:type="dxa"/>
            <w:gridSpan w:val="2"/>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Indikator</w:t>
            </w:r>
          </w:p>
        </w:tc>
        <w:tc>
          <w:tcPr>
            <w:tcW w:w="8895" w:type="dxa"/>
            <w:gridSpan w:val="3"/>
            <w:tcBorders>
              <w:top w:val="nil"/>
              <w:left w:val="nil"/>
              <w:bottom w:val="nil"/>
              <w:right w:val="nil"/>
            </w:tcBorders>
            <w:shd w:val="clear" w:color="auto" w:fill="auto"/>
            <w:vAlign w:val="center"/>
            <w:hideMark/>
          </w:tcPr>
          <w:p w:rsidR="0040647D" w:rsidRPr="0040647D" w:rsidRDefault="0040647D" w:rsidP="0040647D">
            <w:pPr>
              <w:spacing w:after="24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 d. Keberadaan dan komprehensiveness aturan yang mengatur mekanisme penindaklanjutan temuan penyelewengan/indikasi korupsi yang responsif</w:t>
            </w:r>
            <w:r w:rsidRPr="0040647D">
              <w:rPr>
                <w:rFonts w:ascii="Times New Roman" w:eastAsia="Times New Roman" w:hAnsi="Times New Roman" w:cs="Times New Roman"/>
                <w:b/>
                <w:bCs/>
                <w:color w:val="000000"/>
                <w:sz w:val="20"/>
                <w:szCs w:val="20"/>
                <w:lang w:eastAsia="id-ID"/>
              </w:rPr>
              <w:br/>
            </w:r>
            <w:r w:rsidRPr="0040647D">
              <w:rPr>
                <w:rFonts w:ascii="Times New Roman" w:eastAsia="Times New Roman" w:hAnsi="Times New Roman" w:cs="Times New Roman"/>
                <w:b/>
                <w:bCs/>
                <w:color w:val="000000"/>
                <w:sz w:val="20"/>
                <w:szCs w:val="20"/>
                <w:lang w:eastAsia="id-ID"/>
              </w:rPr>
              <w:br/>
            </w:r>
            <w:r w:rsidRPr="0040647D">
              <w:rPr>
                <w:rFonts w:ascii="Times New Roman" w:eastAsia="Times New Roman" w:hAnsi="Times New Roman" w:cs="Times New Roman"/>
                <w:b/>
                <w:bCs/>
                <w:color w:val="000000"/>
                <w:sz w:val="20"/>
                <w:szCs w:val="20"/>
                <w:lang w:eastAsia="id-ID"/>
              </w:rPr>
              <w:lastRenderedPageBreak/>
              <w:br/>
            </w:r>
          </w:p>
        </w:tc>
      </w:tr>
      <w:tr w:rsidR="0040647D" w:rsidRPr="0040647D" w:rsidTr="0040647D">
        <w:trPr>
          <w:trHeight w:val="25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lastRenderedPageBreak/>
              <w:t>Kode</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Item Data</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Data</w:t>
            </w:r>
          </w:p>
        </w:tc>
        <w:tc>
          <w:tcPr>
            <w:tcW w:w="5954"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Dokumen Hukum dan Kebijakan</w:t>
            </w:r>
          </w:p>
        </w:tc>
        <w:tc>
          <w:tcPr>
            <w:tcW w:w="1524"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Kategori Data</w:t>
            </w:r>
          </w:p>
        </w:tc>
      </w:tr>
      <w:tr w:rsidR="0040647D" w:rsidRPr="0040647D" w:rsidTr="0040647D">
        <w:trPr>
          <w:trHeight w:val="76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AVd1</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Pelaksanaan perbaikan sistem secara partisipatif dari rekomendasi BPK dan KPK</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Tidak ada aturan</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255"/>
        </w:trPr>
        <w:tc>
          <w:tcPr>
            <w:tcW w:w="71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595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52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p>
        </w:tc>
      </w:tr>
      <w:tr w:rsidR="0040647D" w:rsidRPr="0040647D" w:rsidTr="0040647D">
        <w:trPr>
          <w:trHeight w:val="600"/>
        </w:trPr>
        <w:tc>
          <w:tcPr>
            <w:tcW w:w="1990" w:type="dxa"/>
            <w:gridSpan w:val="2"/>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Indikator</w:t>
            </w:r>
          </w:p>
        </w:tc>
        <w:tc>
          <w:tcPr>
            <w:tcW w:w="8895" w:type="dxa"/>
            <w:gridSpan w:val="3"/>
            <w:tcBorders>
              <w:top w:val="nil"/>
              <w:left w:val="nil"/>
              <w:bottom w:val="nil"/>
              <w:right w:val="nil"/>
            </w:tcBorders>
            <w:shd w:val="clear" w:color="auto" w:fill="auto"/>
            <w:vAlign w:val="center"/>
            <w:hideMark/>
          </w:tcPr>
          <w:p w:rsidR="0040647D" w:rsidRPr="0040647D" w:rsidRDefault="0040647D" w:rsidP="0040647D">
            <w:pPr>
              <w:spacing w:after="24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 e. Keberadaan dan komprehensiveness aturan yang mengatur mekanisme multi door approach dalam penyelesaian kasus-kasus kejahatan kehutanan</w:t>
            </w:r>
            <w:r w:rsidRPr="0040647D">
              <w:rPr>
                <w:rFonts w:ascii="Times New Roman" w:eastAsia="Times New Roman" w:hAnsi="Times New Roman" w:cs="Times New Roman"/>
                <w:b/>
                <w:bCs/>
                <w:color w:val="000000"/>
                <w:sz w:val="20"/>
                <w:szCs w:val="20"/>
                <w:lang w:eastAsia="id-ID"/>
              </w:rPr>
              <w:br/>
            </w:r>
            <w:r w:rsidRPr="0040647D">
              <w:rPr>
                <w:rFonts w:ascii="Times New Roman" w:eastAsia="Times New Roman" w:hAnsi="Times New Roman" w:cs="Times New Roman"/>
                <w:b/>
                <w:bCs/>
                <w:color w:val="000000"/>
                <w:sz w:val="20"/>
                <w:szCs w:val="20"/>
                <w:lang w:eastAsia="id-ID"/>
              </w:rPr>
              <w:br/>
            </w:r>
            <w:r w:rsidRPr="0040647D">
              <w:rPr>
                <w:rFonts w:ascii="Times New Roman" w:eastAsia="Times New Roman" w:hAnsi="Times New Roman" w:cs="Times New Roman"/>
                <w:b/>
                <w:bCs/>
                <w:color w:val="000000"/>
                <w:sz w:val="20"/>
                <w:szCs w:val="20"/>
                <w:lang w:eastAsia="id-ID"/>
              </w:rPr>
              <w:br/>
            </w:r>
            <w:r w:rsidRPr="0040647D">
              <w:rPr>
                <w:rFonts w:ascii="Times New Roman" w:eastAsia="Times New Roman" w:hAnsi="Times New Roman" w:cs="Times New Roman"/>
                <w:b/>
                <w:bCs/>
                <w:color w:val="000000"/>
                <w:sz w:val="20"/>
                <w:szCs w:val="20"/>
                <w:lang w:eastAsia="id-ID"/>
              </w:rPr>
              <w:br/>
            </w:r>
          </w:p>
        </w:tc>
      </w:tr>
      <w:tr w:rsidR="0040647D" w:rsidRPr="0040647D" w:rsidTr="0040647D">
        <w:trPr>
          <w:trHeight w:val="390"/>
        </w:trPr>
        <w:tc>
          <w:tcPr>
            <w:tcW w:w="1990" w:type="dxa"/>
            <w:gridSpan w:val="2"/>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Data</w:t>
            </w:r>
          </w:p>
        </w:tc>
        <w:tc>
          <w:tcPr>
            <w:tcW w:w="8895" w:type="dxa"/>
            <w:gridSpan w:val="3"/>
            <w:tcBorders>
              <w:top w:val="nil"/>
              <w:left w:val="nil"/>
              <w:bottom w:val="single" w:sz="4" w:space="0" w:color="auto"/>
              <w:right w:val="nil"/>
            </w:tcBorders>
            <w:shd w:val="clear" w:color="auto" w:fill="auto"/>
            <w:vAlign w:val="center"/>
            <w:hideMark/>
          </w:tcPr>
          <w:p w:rsidR="0040647D" w:rsidRPr="0040647D" w:rsidRDefault="0040647D" w:rsidP="0040647D">
            <w:pPr>
              <w:spacing w:after="24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 aturan KLH-kehutanan (satgas illegal loging)</w:t>
            </w:r>
          </w:p>
        </w:tc>
      </w:tr>
      <w:tr w:rsidR="0040647D" w:rsidRPr="0040647D" w:rsidTr="0040647D">
        <w:trPr>
          <w:trHeight w:val="25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Kode</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Item Data</w:t>
            </w:r>
          </w:p>
        </w:tc>
        <w:tc>
          <w:tcPr>
            <w:tcW w:w="1417"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Data</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Dokumen Hukum dan Kebijakan</w:t>
            </w:r>
          </w:p>
        </w:tc>
        <w:tc>
          <w:tcPr>
            <w:tcW w:w="152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Kategori Data</w:t>
            </w:r>
          </w:p>
        </w:tc>
      </w:tr>
      <w:tr w:rsidR="0040647D" w:rsidRPr="0040647D" w:rsidTr="0040647D">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AVe1</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Pendekatan multi-door ap-proach antara lain terdiri dari pendekatan pidana korupsi, anti money laundering, pidana pajak, dan pidana lingkungan hidup</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Tidak ada selama ini</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255"/>
        </w:trPr>
        <w:tc>
          <w:tcPr>
            <w:tcW w:w="71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595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52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p>
        </w:tc>
      </w:tr>
      <w:tr w:rsidR="0040647D" w:rsidRPr="0040647D" w:rsidTr="0040647D">
        <w:trPr>
          <w:trHeight w:val="330"/>
        </w:trPr>
        <w:tc>
          <w:tcPr>
            <w:tcW w:w="1990" w:type="dxa"/>
            <w:gridSpan w:val="2"/>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Isu dalam PGA REDD+</w:t>
            </w:r>
          </w:p>
        </w:tc>
        <w:tc>
          <w:tcPr>
            <w:tcW w:w="7371" w:type="dxa"/>
            <w:gridSpan w:val="2"/>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  VI. Infrastruktur REDD+</w:t>
            </w:r>
          </w:p>
        </w:tc>
        <w:tc>
          <w:tcPr>
            <w:tcW w:w="152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p>
        </w:tc>
      </w:tr>
      <w:tr w:rsidR="0040647D" w:rsidRPr="0040647D" w:rsidTr="0040647D">
        <w:trPr>
          <w:trHeight w:val="645"/>
        </w:trPr>
        <w:tc>
          <w:tcPr>
            <w:tcW w:w="1990" w:type="dxa"/>
            <w:gridSpan w:val="2"/>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Indikator</w:t>
            </w:r>
          </w:p>
        </w:tc>
        <w:tc>
          <w:tcPr>
            <w:tcW w:w="8895" w:type="dxa"/>
            <w:gridSpan w:val="3"/>
            <w:tcBorders>
              <w:top w:val="nil"/>
              <w:left w:val="nil"/>
              <w:bottom w:val="nil"/>
              <w:right w:val="nil"/>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 a. Keberadaan dan komprehensiveness aturan yang mengatur transparansi dalam pengembangan kebijakan dan kelembagaan REDD+</w:t>
            </w:r>
          </w:p>
        </w:tc>
      </w:tr>
      <w:tr w:rsidR="0040647D" w:rsidRPr="0040647D" w:rsidTr="0040647D">
        <w:trPr>
          <w:trHeight w:val="390"/>
        </w:trPr>
        <w:tc>
          <w:tcPr>
            <w:tcW w:w="1990" w:type="dxa"/>
            <w:gridSpan w:val="2"/>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Data</w:t>
            </w:r>
          </w:p>
        </w:tc>
        <w:tc>
          <w:tcPr>
            <w:tcW w:w="8895" w:type="dxa"/>
            <w:gridSpan w:val="3"/>
            <w:tcBorders>
              <w:top w:val="nil"/>
              <w:left w:val="nil"/>
              <w:bottom w:val="single" w:sz="4" w:space="0" w:color="auto"/>
              <w:right w:val="nil"/>
            </w:tcBorders>
            <w:shd w:val="clear" w:color="auto" w:fill="auto"/>
            <w:vAlign w:val="center"/>
            <w:hideMark/>
          </w:tcPr>
          <w:p w:rsidR="0040647D" w:rsidRPr="0040647D" w:rsidRDefault="0040647D" w:rsidP="0040647D">
            <w:pPr>
              <w:spacing w:after="24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 (UKP4, Permenhut, Perda/SK Gub/Bup)</w:t>
            </w:r>
            <w:r w:rsidRPr="0040647D">
              <w:rPr>
                <w:rFonts w:ascii="Times New Roman" w:eastAsia="Times New Roman" w:hAnsi="Times New Roman" w:cs="Times New Roman"/>
                <w:b/>
                <w:bCs/>
                <w:color w:val="000000"/>
                <w:sz w:val="20"/>
                <w:szCs w:val="20"/>
                <w:lang w:eastAsia="id-ID"/>
              </w:rPr>
              <w:br/>
            </w:r>
          </w:p>
        </w:tc>
      </w:tr>
      <w:tr w:rsidR="0040647D" w:rsidRPr="0040647D" w:rsidTr="0040647D">
        <w:trPr>
          <w:trHeight w:val="25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Kode</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Item Data</w:t>
            </w:r>
          </w:p>
        </w:tc>
        <w:tc>
          <w:tcPr>
            <w:tcW w:w="1417"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Data</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Dokumen Hukum dan Kebijakan</w:t>
            </w:r>
          </w:p>
        </w:tc>
        <w:tc>
          <w:tcPr>
            <w:tcW w:w="152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Kategori Data</w:t>
            </w:r>
          </w:p>
        </w:tc>
      </w:tr>
      <w:tr w:rsidR="0040647D" w:rsidRPr="0040647D" w:rsidTr="0040647D">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AVIa1</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xml:space="preserve">Ketersediaan seluruh informasi dalam kaitannya dengan proses pembentukan infrastruktur, pelaksanaan dan pengawasan </w:t>
            </w:r>
            <w:r w:rsidRPr="0040647D">
              <w:rPr>
                <w:rFonts w:ascii="Times New Roman" w:eastAsia="Times New Roman" w:hAnsi="Times New Roman" w:cs="Times New Roman"/>
                <w:color w:val="000000"/>
                <w:sz w:val="20"/>
                <w:szCs w:val="20"/>
                <w:lang w:eastAsia="id-ID"/>
              </w:rPr>
              <w:lastRenderedPageBreak/>
              <w:t>REDD+</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lastRenderedPageBreak/>
              <w:t>SK Bup</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melalui surat Bupati No. 522/Distanbunhut tanggal 16 desember 2011 untuk adanya kesanggupan jadi lokasipilot project REDD+, meskipun Poso tidak ditetakan sebagai salah satu daerah pilot project Redd + oleh satgas provinsi menjadikan tidak satupun kebijakan Kab. Poso yang berupaya untuk menguatkannya</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lastRenderedPageBreak/>
              <w:t>AVIa2</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Kewajiban agar Badan Publik memiliki petugas khusus yang menangani permintaan informasi publik</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Tidak ada ketentuan</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76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AVIa3</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Pemberian akses bagi publik baik secara proaktif maupun berdasarkan permintaan</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Belum ada hal seperti itu</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AVIa4</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Tidak ada batasan, yang pentinng bagaimana meyakinkan dan mendekatkan dengan sumber informasi saja</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76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AVIa5</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Sanksi bagi pihak-pihak yang sengaja menghambat akses publik atas informasi</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Belum ada sangsi (tidak diperoleh dokumen)</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255"/>
        </w:trPr>
        <w:tc>
          <w:tcPr>
            <w:tcW w:w="71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595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52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p>
        </w:tc>
      </w:tr>
      <w:tr w:rsidR="0040647D" w:rsidRPr="0040647D" w:rsidTr="0040647D">
        <w:trPr>
          <w:trHeight w:val="645"/>
        </w:trPr>
        <w:tc>
          <w:tcPr>
            <w:tcW w:w="1990" w:type="dxa"/>
            <w:gridSpan w:val="2"/>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Indikator</w:t>
            </w:r>
          </w:p>
        </w:tc>
        <w:tc>
          <w:tcPr>
            <w:tcW w:w="8895" w:type="dxa"/>
            <w:gridSpan w:val="3"/>
            <w:tcBorders>
              <w:top w:val="nil"/>
              <w:left w:val="nil"/>
              <w:bottom w:val="nil"/>
              <w:right w:val="nil"/>
            </w:tcBorders>
            <w:shd w:val="clear" w:color="auto" w:fill="auto"/>
            <w:vAlign w:val="center"/>
            <w:hideMark/>
          </w:tcPr>
          <w:p w:rsidR="0040647D" w:rsidRPr="0040647D" w:rsidRDefault="0040647D" w:rsidP="0040647D">
            <w:pPr>
              <w:spacing w:after="24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 b. Keberadaan dan komprehensiveness aturan yang mengatur penyusunan kebijakan dan kelembagaan REDD+ yang obyektif dan transparan</w:t>
            </w:r>
          </w:p>
        </w:tc>
      </w:tr>
      <w:tr w:rsidR="0040647D" w:rsidRPr="0040647D" w:rsidTr="0040647D">
        <w:trPr>
          <w:trHeight w:val="25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Kode</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Item Data</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Data</w:t>
            </w:r>
          </w:p>
        </w:tc>
        <w:tc>
          <w:tcPr>
            <w:tcW w:w="5954"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Dokumen Hukum dan Kebijakan</w:t>
            </w:r>
          </w:p>
        </w:tc>
        <w:tc>
          <w:tcPr>
            <w:tcW w:w="1524"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Kategori Data</w:t>
            </w:r>
          </w:p>
        </w:tc>
      </w:tr>
      <w:tr w:rsidR="0040647D" w:rsidRPr="0040647D" w:rsidTr="0040647D">
        <w:trPr>
          <w:trHeight w:val="153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AVIb1</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xml:space="preserve">Penyampaian informasi atas rencana pembentukan peraturan/kebijakan terkait REDD+ kepada seluruh pihak yg memiliki </w:t>
            </w:r>
            <w:r w:rsidRPr="0040647D">
              <w:rPr>
                <w:rFonts w:ascii="Times New Roman" w:eastAsia="Times New Roman" w:hAnsi="Times New Roman" w:cs="Times New Roman"/>
                <w:color w:val="000000"/>
                <w:sz w:val="20"/>
                <w:szCs w:val="20"/>
                <w:lang w:eastAsia="id-ID"/>
              </w:rPr>
              <w:lastRenderedPageBreak/>
              <w:t>hak serta pihak yg berkepentingan</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lastRenderedPageBreak/>
              <w:t> </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Yang mengetahui rencana ini adalah elit politik daerah (Bupati/wakil bupati), bappeda dan kehutanan saja yang lain tidak ada yang tahu.</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lastRenderedPageBreak/>
              <w:t>AVIb2</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Mekanisme yang memudahkan bagi seluruh pihak yang berkepentingan untuk dapat terlibat dalam proses pengambilan keputusan</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Mekanismenya sebenarnya setiap pengambilan keputusan itu terbuka hanya selama ini tidak diinformasikan kepada masyarakat atas masa itu.</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AVIb3</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xml:space="preserve">Penunjukan satu petugas khusus yang bertanggungjawab mengelola </w:t>
            </w:r>
            <w:r w:rsidRPr="0040647D">
              <w:rPr>
                <w:rFonts w:ascii="Times New Roman" w:eastAsia="Times New Roman" w:hAnsi="Times New Roman" w:cs="Times New Roman"/>
                <w:color w:val="000000"/>
                <w:sz w:val="20"/>
                <w:szCs w:val="20"/>
                <w:lang w:eastAsia="id-ID"/>
              </w:rPr>
              <w:lastRenderedPageBreak/>
              <w:t>masukan publik dalam proses pembentukan kebijakan terkait REDD+;</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lastRenderedPageBreak/>
              <w:t> </w:t>
            </w:r>
          </w:p>
        </w:tc>
        <w:tc>
          <w:tcPr>
            <w:tcW w:w="595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Belum ada aturan terkait hal dimaksud</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51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lastRenderedPageBreak/>
              <w:t>AVIb4</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Dokumentasi setiap masukan baik yang tertulis ataupun tidak</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xml:space="preserve">tidak diperoleh dokumentasi </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1512"/>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AVIb5</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Pemberian respon yang bersifat terbuka atas setiap masukan yang ada (metode umpan balik)</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Tidak ada petugas/mekanisme yang khusus, jika ada hal dipertanyakan yang biasa dilakukan secara personal dijawab sesuai kapasitas dan kompetensi birokrat yang biasanya memegang jabatan di SKPD tertentu</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51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AVIb6</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Penjelasan atas keputusan akhir yang diambil</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Tidak ada mekanisme</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76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lastRenderedPageBreak/>
              <w:t>AVIb7</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Pelaksanakan seluruh proses partisipasi dalam waktu yang cukup, (minimum 45 hari kerja)</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Tidak ada hal seperti ini</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255"/>
        </w:trPr>
        <w:tc>
          <w:tcPr>
            <w:tcW w:w="71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595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52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p>
        </w:tc>
      </w:tr>
      <w:tr w:rsidR="0040647D" w:rsidRPr="0040647D" w:rsidTr="0040647D">
        <w:trPr>
          <w:trHeight w:val="615"/>
        </w:trPr>
        <w:tc>
          <w:tcPr>
            <w:tcW w:w="1990" w:type="dxa"/>
            <w:gridSpan w:val="2"/>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Indikator</w:t>
            </w:r>
          </w:p>
        </w:tc>
        <w:tc>
          <w:tcPr>
            <w:tcW w:w="8895" w:type="dxa"/>
            <w:gridSpan w:val="3"/>
            <w:tcBorders>
              <w:top w:val="nil"/>
              <w:left w:val="nil"/>
              <w:bottom w:val="nil"/>
              <w:right w:val="nil"/>
            </w:tcBorders>
            <w:shd w:val="clear" w:color="auto" w:fill="auto"/>
            <w:vAlign w:val="center"/>
            <w:hideMark/>
          </w:tcPr>
          <w:p w:rsidR="0040647D" w:rsidRPr="0040647D" w:rsidRDefault="0040647D" w:rsidP="0040647D">
            <w:pPr>
              <w:spacing w:after="24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 xml:space="preserve">: c. Keberadaan dan komprehensiveness aturan yang mengatur mekanisme penanganan pengaduan masyarakat dalam proses pengembangan kebijakan dan kelembagaan REDD+ </w:t>
            </w:r>
          </w:p>
        </w:tc>
      </w:tr>
      <w:tr w:rsidR="0040647D" w:rsidRPr="0040647D" w:rsidTr="0040647D">
        <w:trPr>
          <w:trHeight w:val="25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Kode</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Item Data</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Data</w:t>
            </w:r>
          </w:p>
        </w:tc>
        <w:tc>
          <w:tcPr>
            <w:tcW w:w="5954"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Dokumen Hukum dan Kebijakan</w:t>
            </w:r>
          </w:p>
        </w:tc>
        <w:tc>
          <w:tcPr>
            <w:tcW w:w="1524"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Kategori Data</w:t>
            </w:r>
          </w:p>
        </w:tc>
      </w:tr>
      <w:tr w:rsidR="0040647D" w:rsidRPr="0040647D" w:rsidTr="0040647D">
        <w:trPr>
          <w:trHeight w:val="229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AVIc1</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Mekanisme pengaduan masyarakat yang memudahkan bagi seluruh pihak (termasuk competitors) untuk menyampaikan pengaduan dan mendapatkan kejelasan tindakan yang telah diambil atas pengaduan yang disampaikan dalam jangka waktu yang jelas</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Tidak ada hal seperti ini</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AVIc2</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Mekanisme resolusi konflik dan penyelesaian sengketa melalui jalur perundingan apabila terdapat perbedaan pandangan yg tajam atas suatu hal</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Keberadaan mekanisme adat lokal dapat menjadi resolusi konflik selama ini meskipun tidak semua wilayah memilikinya (dokumen tidak dokumen)</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2</w:t>
            </w:r>
          </w:p>
        </w:tc>
      </w:tr>
      <w:tr w:rsidR="0040647D" w:rsidRPr="0040647D" w:rsidTr="0040647D">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lastRenderedPageBreak/>
              <w:t>AVIc3</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Jasa mediator yang memiliki keahlian dan pemahaman tentang isu-isu adat</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bag. Hukum</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Belum ada kasus yang menggunakan kasus mediator kecuali kasus Pamona yang melibatkan masyarakat dan perusahaan PT Poso Energi/Bukaka yang melibatkan Komnas HAM dalam penyelesaiannya.</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255"/>
        </w:trPr>
        <w:tc>
          <w:tcPr>
            <w:tcW w:w="71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595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52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p>
        </w:tc>
      </w:tr>
      <w:tr w:rsidR="0040647D" w:rsidRPr="0040647D" w:rsidTr="0040647D">
        <w:trPr>
          <w:trHeight w:val="630"/>
        </w:trPr>
        <w:tc>
          <w:tcPr>
            <w:tcW w:w="1990" w:type="dxa"/>
            <w:gridSpan w:val="2"/>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Indikator</w:t>
            </w:r>
          </w:p>
        </w:tc>
        <w:tc>
          <w:tcPr>
            <w:tcW w:w="8895" w:type="dxa"/>
            <w:gridSpan w:val="3"/>
            <w:tcBorders>
              <w:top w:val="nil"/>
              <w:left w:val="nil"/>
              <w:bottom w:val="nil"/>
              <w:right w:val="nil"/>
            </w:tcBorders>
            <w:shd w:val="clear" w:color="auto" w:fill="auto"/>
            <w:vAlign w:val="center"/>
            <w:hideMark/>
          </w:tcPr>
          <w:p w:rsidR="0040647D" w:rsidRPr="0040647D" w:rsidRDefault="0040647D" w:rsidP="0040647D">
            <w:pPr>
              <w:spacing w:after="24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 xml:space="preserve">: d. Keberadaan dan komprehensiveness aturan yang mengatur program peningkatan kapasitas aparat pemerintah dan masyarakat dalam penyiapan pengembangan kebijakan dan kelembagaan REDD+  </w:t>
            </w:r>
            <w:r w:rsidRPr="0040647D">
              <w:rPr>
                <w:rFonts w:ascii="Times New Roman" w:eastAsia="Times New Roman" w:hAnsi="Times New Roman" w:cs="Times New Roman"/>
                <w:b/>
                <w:bCs/>
                <w:color w:val="000000"/>
                <w:sz w:val="20"/>
                <w:szCs w:val="20"/>
                <w:lang w:eastAsia="id-ID"/>
              </w:rPr>
              <w:br/>
              <w:t xml:space="preserve"> </w:t>
            </w:r>
          </w:p>
        </w:tc>
      </w:tr>
      <w:tr w:rsidR="0040647D" w:rsidRPr="0040647D" w:rsidTr="0040647D">
        <w:trPr>
          <w:trHeight w:val="25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Kode</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Item Data</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Data</w:t>
            </w:r>
          </w:p>
        </w:tc>
        <w:tc>
          <w:tcPr>
            <w:tcW w:w="5954"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Dokumen Hukum dan Kebijakan</w:t>
            </w:r>
          </w:p>
        </w:tc>
        <w:tc>
          <w:tcPr>
            <w:tcW w:w="1524"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Kategori Data</w:t>
            </w:r>
          </w:p>
        </w:tc>
      </w:tr>
      <w:tr w:rsidR="0040647D" w:rsidRPr="0040647D" w:rsidTr="0040647D">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AVId1</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Program untuk meningkatkan kapasitas masyarakat adat/lokal untuk untuk memahami REDD+ serta pilihan-pilihan kebijakan yang ada</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Tidak ada, selama ini yang melaksanakan hanya Pokja REDD yang ada di provinsi</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AVId2</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Program untuk peningkatan kapasitas pemerintahan yang lebih rendah untuk memahami REDD+ serta pilihan-pilihan kebijakan yang ada</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tidak diperoleh dokumen Dikarenakan usulan untuk menjadi Kabupaten Pilot Project REDD+ tidak dikabulkan gubernur kab. Poso tidak melakukan hal-hal dalam upaya pengelolaan REDD+ termasuk dalam pelembagaannya.</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255"/>
        </w:trPr>
        <w:tc>
          <w:tcPr>
            <w:tcW w:w="71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595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52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p>
        </w:tc>
      </w:tr>
      <w:tr w:rsidR="0040647D" w:rsidRPr="0040647D" w:rsidTr="0040647D">
        <w:trPr>
          <w:trHeight w:val="630"/>
        </w:trPr>
        <w:tc>
          <w:tcPr>
            <w:tcW w:w="1990" w:type="dxa"/>
            <w:gridSpan w:val="2"/>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Indikator</w:t>
            </w:r>
          </w:p>
        </w:tc>
        <w:tc>
          <w:tcPr>
            <w:tcW w:w="8895" w:type="dxa"/>
            <w:gridSpan w:val="3"/>
            <w:tcBorders>
              <w:top w:val="nil"/>
              <w:left w:val="nil"/>
              <w:bottom w:val="nil"/>
              <w:right w:val="nil"/>
            </w:tcBorders>
            <w:shd w:val="clear" w:color="auto" w:fill="auto"/>
            <w:vAlign w:val="center"/>
            <w:hideMark/>
          </w:tcPr>
          <w:p w:rsidR="0040647D" w:rsidRPr="0040647D" w:rsidRDefault="0040647D" w:rsidP="0040647D">
            <w:pPr>
              <w:spacing w:after="24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 xml:space="preserve">: e. Keberadaan dan komprehensiveness aturan yang mengatur mekanisme tindak lanjut temuan penyelewengan/indikasi korupsi kegiatan REDD+ yang responsif </w:t>
            </w:r>
            <w:r w:rsidRPr="0040647D">
              <w:rPr>
                <w:rFonts w:ascii="Times New Roman" w:eastAsia="Times New Roman" w:hAnsi="Times New Roman" w:cs="Times New Roman"/>
                <w:b/>
                <w:bCs/>
                <w:color w:val="000000"/>
                <w:sz w:val="20"/>
                <w:szCs w:val="20"/>
                <w:lang w:eastAsia="id-ID"/>
              </w:rPr>
              <w:br/>
              <w:t xml:space="preserve"> </w:t>
            </w:r>
            <w:r w:rsidRPr="0040647D">
              <w:rPr>
                <w:rFonts w:ascii="Times New Roman" w:eastAsia="Times New Roman" w:hAnsi="Times New Roman" w:cs="Times New Roman"/>
                <w:b/>
                <w:bCs/>
                <w:color w:val="000000"/>
                <w:sz w:val="20"/>
                <w:szCs w:val="20"/>
                <w:lang w:eastAsia="id-ID"/>
              </w:rPr>
              <w:br/>
              <w:t xml:space="preserve"> </w:t>
            </w:r>
          </w:p>
        </w:tc>
      </w:tr>
      <w:tr w:rsidR="0040647D" w:rsidRPr="0040647D" w:rsidTr="0040647D">
        <w:trPr>
          <w:trHeight w:val="25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Kode</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Item Data</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Data</w:t>
            </w:r>
          </w:p>
        </w:tc>
        <w:tc>
          <w:tcPr>
            <w:tcW w:w="5954"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Dokumen Hukum dan Kebijakan</w:t>
            </w:r>
          </w:p>
        </w:tc>
        <w:tc>
          <w:tcPr>
            <w:tcW w:w="1524"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Kategori Data</w:t>
            </w:r>
          </w:p>
        </w:tc>
      </w:tr>
      <w:tr w:rsidR="0040647D" w:rsidRPr="0040647D" w:rsidTr="0040647D">
        <w:trPr>
          <w:trHeight w:val="76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AVIe1</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Pelaksanaan perbaikan sistem berdasarka</w:t>
            </w:r>
            <w:r w:rsidRPr="0040647D">
              <w:rPr>
                <w:rFonts w:ascii="Times New Roman" w:eastAsia="Times New Roman" w:hAnsi="Times New Roman" w:cs="Times New Roman"/>
                <w:color w:val="000000"/>
                <w:sz w:val="20"/>
                <w:szCs w:val="20"/>
                <w:lang w:eastAsia="id-ID"/>
              </w:rPr>
              <w:lastRenderedPageBreak/>
              <w:t>n rekomendasi BPK secara partisipatif</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lastRenderedPageBreak/>
              <w:t> </w:t>
            </w:r>
          </w:p>
        </w:tc>
        <w:tc>
          <w:tcPr>
            <w:tcW w:w="595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tidak diperoleh dokumen yang ditemukan karena bersifat tertutup</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255"/>
        </w:trPr>
        <w:tc>
          <w:tcPr>
            <w:tcW w:w="71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595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p>
        </w:tc>
        <w:tc>
          <w:tcPr>
            <w:tcW w:w="1524" w:type="dxa"/>
            <w:tcBorders>
              <w:top w:val="nil"/>
              <w:left w:val="nil"/>
              <w:bottom w:val="nil"/>
              <w:right w:val="nil"/>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p>
        </w:tc>
      </w:tr>
      <w:tr w:rsidR="0040647D" w:rsidRPr="0040647D" w:rsidTr="0040647D">
        <w:trPr>
          <w:trHeight w:val="555"/>
        </w:trPr>
        <w:tc>
          <w:tcPr>
            <w:tcW w:w="1990" w:type="dxa"/>
            <w:gridSpan w:val="2"/>
            <w:tcBorders>
              <w:top w:val="nil"/>
              <w:left w:val="nil"/>
              <w:bottom w:val="nil"/>
              <w:right w:val="nil"/>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Indikator</w:t>
            </w:r>
          </w:p>
        </w:tc>
        <w:tc>
          <w:tcPr>
            <w:tcW w:w="8895" w:type="dxa"/>
            <w:gridSpan w:val="3"/>
            <w:tcBorders>
              <w:top w:val="nil"/>
              <w:left w:val="nil"/>
              <w:bottom w:val="nil"/>
              <w:right w:val="nil"/>
            </w:tcBorders>
            <w:shd w:val="clear" w:color="auto" w:fill="auto"/>
            <w:vAlign w:val="center"/>
            <w:hideMark/>
          </w:tcPr>
          <w:p w:rsidR="0040647D" w:rsidRPr="0040647D" w:rsidRDefault="0040647D" w:rsidP="0040647D">
            <w:pPr>
              <w:spacing w:after="240" w:line="240" w:lineRule="auto"/>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 f. Keberadaan dan komprehensiveness aturan yang mengatur mekanisme penanganan pengaduan dalam konflik terkait dengan kegiatan REDD+</w:t>
            </w:r>
            <w:r w:rsidRPr="0040647D">
              <w:rPr>
                <w:rFonts w:ascii="Times New Roman" w:eastAsia="Times New Roman" w:hAnsi="Times New Roman" w:cs="Times New Roman"/>
                <w:b/>
                <w:bCs/>
                <w:color w:val="000000"/>
                <w:sz w:val="20"/>
                <w:szCs w:val="20"/>
                <w:lang w:eastAsia="id-ID"/>
              </w:rPr>
              <w:br/>
              <w:t xml:space="preserve"> </w:t>
            </w:r>
          </w:p>
        </w:tc>
      </w:tr>
      <w:tr w:rsidR="0040647D" w:rsidRPr="0040647D" w:rsidTr="0040647D">
        <w:trPr>
          <w:trHeight w:val="25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Kode</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Item Data</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Data</w:t>
            </w:r>
          </w:p>
        </w:tc>
        <w:tc>
          <w:tcPr>
            <w:tcW w:w="5954"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Sumber Dokumen Hukum dan Kebijakan</w:t>
            </w:r>
          </w:p>
        </w:tc>
        <w:tc>
          <w:tcPr>
            <w:tcW w:w="1524" w:type="dxa"/>
            <w:tcBorders>
              <w:top w:val="single" w:sz="4" w:space="0" w:color="auto"/>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b/>
                <w:bCs/>
                <w:color w:val="000000"/>
                <w:sz w:val="20"/>
                <w:szCs w:val="20"/>
                <w:lang w:eastAsia="id-ID"/>
              </w:rPr>
            </w:pPr>
            <w:r w:rsidRPr="0040647D">
              <w:rPr>
                <w:rFonts w:ascii="Times New Roman" w:eastAsia="Times New Roman" w:hAnsi="Times New Roman" w:cs="Times New Roman"/>
                <w:b/>
                <w:bCs/>
                <w:color w:val="000000"/>
                <w:sz w:val="20"/>
                <w:szCs w:val="20"/>
                <w:lang w:eastAsia="id-ID"/>
              </w:rPr>
              <w:t>Kategori Data</w:t>
            </w:r>
          </w:p>
        </w:tc>
      </w:tr>
      <w:tr w:rsidR="0040647D" w:rsidRPr="0040647D" w:rsidTr="0040647D">
        <w:trPr>
          <w:trHeight w:val="1020"/>
        </w:trPr>
        <w:tc>
          <w:tcPr>
            <w:tcW w:w="714" w:type="dxa"/>
            <w:tcBorders>
              <w:top w:val="nil"/>
              <w:left w:val="single" w:sz="4" w:space="0" w:color="auto"/>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AVIf1</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Mekanisme pengaduan yang sederhana, memilik tenggat waktu yang jelas serta kejelasan tindakan yang telah diambil</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RPJMD</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Tidak ada aturan yang memuat kepastian pelayanan karena  dalam perda No 1 tahun 2011 tentang RPJMD 2010-2015 pasal 14 ayat 1 memungkinkan masyarakat melaporkan berbagai hal terkait penyimpangan meskipun peraturan bupatinya belum ada</w:t>
            </w:r>
          </w:p>
        </w:tc>
        <w:tc>
          <w:tcPr>
            <w:tcW w:w="152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765"/>
        </w:trPr>
        <w:tc>
          <w:tcPr>
            <w:tcW w:w="714" w:type="dxa"/>
            <w:tcBorders>
              <w:top w:val="nil"/>
              <w:left w:val="single" w:sz="4" w:space="0" w:color="auto"/>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AVIf2</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Mekanisme resolusi konflik dan penyelesaian sengketa melalui jalur perundingan</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Mekanisme adat yang dijadikan resolusi konflik (tidak diperoleh dokumen tertulis)</w:t>
            </w:r>
          </w:p>
        </w:tc>
        <w:tc>
          <w:tcPr>
            <w:tcW w:w="152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1275"/>
        </w:trPr>
        <w:tc>
          <w:tcPr>
            <w:tcW w:w="714" w:type="dxa"/>
            <w:tcBorders>
              <w:top w:val="nil"/>
              <w:left w:val="single" w:sz="4" w:space="0" w:color="auto"/>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AVIf3</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Mewajibkan mediator yang disediakan untuk memiliki keahlian dan pemahaman tentang isu-isu adat/masyarakat lokal</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Selama ini kasus kehutanan diselesaiakan sesuai posisi orang yang akan jadi mediator</w:t>
            </w:r>
          </w:p>
        </w:tc>
        <w:tc>
          <w:tcPr>
            <w:tcW w:w="1524"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r w:rsidR="0040647D" w:rsidRPr="0040647D" w:rsidTr="0040647D">
        <w:trPr>
          <w:trHeight w:val="1020"/>
        </w:trPr>
        <w:tc>
          <w:tcPr>
            <w:tcW w:w="714" w:type="dxa"/>
            <w:tcBorders>
              <w:top w:val="nil"/>
              <w:left w:val="single" w:sz="4" w:space="0" w:color="auto"/>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AVIf4</w:t>
            </w:r>
          </w:p>
        </w:tc>
        <w:tc>
          <w:tcPr>
            <w:tcW w:w="1276" w:type="dxa"/>
            <w:tcBorders>
              <w:top w:val="nil"/>
              <w:left w:val="nil"/>
              <w:bottom w:val="single" w:sz="4" w:space="0" w:color="auto"/>
              <w:right w:val="single" w:sz="4" w:space="0" w:color="auto"/>
            </w:tcBorders>
            <w:shd w:val="clear" w:color="auto" w:fill="auto"/>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Mekanisme pengawasan eksternal atas kinerja penegak hukum dalam menindaklanjuti pengaduan masyarakat</w:t>
            </w:r>
          </w:p>
        </w:tc>
        <w:tc>
          <w:tcPr>
            <w:tcW w:w="1417"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 </w:t>
            </w:r>
          </w:p>
        </w:tc>
        <w:tc>
          <w:tcPr>
            <w:tcW w:w="595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Tidak ada mekanisme formal yang memungkinkan lembaga lain untuk melakukan pengawasan kecuali advokasi yang dilakukan media massa dan beberapa NGO</w:t>
            </w:r>
          </w:p>
        </w:tc>
        <w:tc>
          <w:tcPr>
            <w:tcW w:w="1524" w:type="dxa"/>
            <w:tcBorders>
              <w:top w:val="nil"/>
              <w:left w:val="nil"/>
              <w:bottom w:val="single" w:sz="4" w:space="0" w:color="auto"/>
              <w:right w:val="single" w:sz="4" w:space="0" w:color="auto"/>
            </w:tcBorders>
            <w:shd w:val="clear" w:color="auto" w:fill="auto"/>
            <w:noWrap/>
            <w:vAlign w:val="center"/>
            <w:hideMark/>
          </w:tcPr>
          <w:p w:rsidR="0040647D" w:rsidRPr="0040647D" w:rsidRDefault="0040647D" w:rsidP="0040647D">
            <w:pPr>
              <w:spacing w:after="0" w:line="240" w:lineRule="auto"/>
              <w:jc w:val="center"/>
              <w:rPr>
                <w:rFonts w:ascii="Times New Roman" w:eastAsia="Times New Roman" w:hAnsi="Times New Roman" w:cs="Times New Roman"/>
                <w:color w:val="000000"/>
                <w:sz w:val="20"/>
                <w:szCs w:val="20"/>
                <w:lang w:eastAsia="id-ID"/>
              </w:rPr>
            </w:pPr>
            <w:r w:rsidRPr="0040647D">
              <w:rPr>
                <w:rFonts w:ascii="Times New Roman" w:eastAsia="Times New Roman" w:hAnsi="Times New Roman" w:cs="Times New Roman"/>
                <w:color w:val="000000"/>
                <w:sz w:val="20"/>
                <w:szCs w:val="20"/>
                <w:lang w:eastAsia="id-ID"/>
              </w:rPr>
              <w:t>1</w:t>
            </w:r>
          </w:p>
        </w:tc>
      </w:tr>
    </w:tbl>
    <w:p w:rsidR="0040647D" w:rsidRDefault="0040647D"/>
    <w:p w:rsidR="0040647D" w:rsidRDefault="0040647D"/>
    <w:sectPr w:rsidR="0040647D"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40647D"/>
    <w:rsid w:val="004165D1"/>
    <w:rsid w:val="006E5970"/>
    <w:rsid w:val="00A74DB7"/>
    <w:rsid w:val="00A91768"/>
    <w:rsid w:val="00BB5203"/>
    <w:rsid w:val="00D74DB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40647D"/>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1407727290">
      <w:bodyDiv w:val="1"/>
      <w:marLeft w:val="0"/>
      <w:marRight w:val="0"/>
      <w:marTop w:val="0"/>
      <w:marBottom w:val="0"/>
      <w:divBdr>
        <w:top w:val="none" w:sz="0" w:space="0" w:color="auto"/>
        <w:left w:val="none" w:sz="0" w:space="0" w:color="auto"/>
        <w:bottom w:val="none" w:sz="0" w:space="0" w:color="auto"/>
        <w:right w:val="none" w:sz="0" w:space="0" w:color="auto"/>
      </w:divBdr>
    </w:div>
    <w:div w:id="1921939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22</Pages>
  <Words>4340</Words>
  <Characters>24741</Characters>
  <Application>Microsoft Office Word</Application>
  <DocSecurity>0</DocSecurity>
  <Lines>206</Lines>
  <Paragraphs>58</Paragraphs>
  <ScaleCrop>false</ScaleCrop>
  <Company/>
  <LinksUpToDate>false</LinksUpToDate>
  <CharactersWithSpaces>29023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2</cp:revision>
  <dcterms:created xsi:type="dcterms:W3CDTF">2012-10-16T01:42:00Z</dcterms:created>
  <dcterms:modified xsi:type="dcterms:W3CDTF">2012-10-16T07:35:00Z</dcterms:modified>
</cp:coreProperties>
</file>